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CF" w:rsidRDefault="0050586D">
      <w:pPr>
        <w:spacing w:line="360" w:lineRule="auto"/>
        <w:jc w:val="center"/>
        <w:rPr>
          <w:color w:val="222222"/>
          <w:highlight w:val="white"/>
        </w:rPr>
      </w:pPr>
      <w:r>
        <w:rPr>
          <w:b/>
        </w:rPr>
        <w:t>Stanovisko Českého plynárenského svazu ke sdělení Evropské komise - Evropská zelená dohoda</w:t>
      </w:r>
    </w:p>
    <w:p w:rsidR="00F272CF" w:rsidRDefault="00F272CF">
      <w:pPr>
        <w:spacing w:line="360" w:lineRule="auto"/>
        <w:jc w:val="center"/>
        <w:rPr>
          <w:b/>
        </w:rPr>
      </w:pPr>
    </w:p>
    <w:p w:rsidR="00F272CF" w:rsidRDefault="0050586D">
      <w:pPr>
        <w:spacing w:line="360" w:lineRule="auto"/>
        <w:jc w:val="both"/>
      </w:pPr>
      <w:r>
        <w:t>Vědom si mezinárodních závazků České republiky a Evropské unie v oblasti klimatu, podporuje Český plynárenský svaz (ČPS) společné úsilí o postupné snižování emisí skleníkových plynů a zlepšování kvality ovzduší, které je součástí Evropské zelené dohody Evropské komise. Jsme přesvědčeni, že</w:t>
      </w:r>
      <w:r w:rsidR="00502E5A">
        <w:t> </w:t>
      </w:r>
      <w:r>
        <w:t xml:space="preserve">plynárenství představuje na české, evropské i globální úrovni nepostradatelnou součást úspěšného přechodu na nízkouhlíkovou ekonomiku. </w:t>
      </w:r>
    </w:p>
    <w:p w:rsidR="00F272CF" w:rsidRDefault="00F272CF">
      <w:pPr>
        <w:spacing w:line="360" w:lineRule="auto"/>
        <w:jc w:val="both"/>
      </w:pPr>
    </w:p>
    <w:p w:rsidR="00F272CF" w:rsidRDefault="0050586D">
      <w:pPr>
        <w:spacing w:line="360" w:lineRule="auto"/>
        <w:jc w:val="both"/>
      </w:pPr>
      <w:r>
        <w:t>Dosažení klimatických cílů EU do roku 2050 vyžaduje značné úsilí a plné zapojení všech členských států a zainteresovaných stran v EU. Vzhledem ke skutečnosti, že ve struktuře ekonomik a energetických mixů jednotlivých členských států EU existují zřetelné rozdíly, ČPS se domnívá, že klíčovým prvkem bude, aby</w:t>
      </w:r>
      <w:r w:rsidR="00502E5A">
        <w:t> </w:t>
      </w:r>
      <w:r>
        <w:t>proces přechodu na novou energetickou koncepci odráže</w:t>
      </w:r>
      <w:r w:rsidR="00502E5A">
        <w:t>l regionální rozdíly v rámci EU</w:t>
      </w:r>
      <w:r>
        <w:t xml:space="preserve"> i odlišný potenciál každého členského státu dosáhnout těchto cílů nákladově efektivním způsobem a</w:t>
      </w:r>
      <w:r w:rsidR="00502E5A">
        <w:t> </w:t>
      </w:r>
      <w:r>
        <w:t>bez</w:t>
      </w:r>
      <w:r w:rsidR="00502E5A">
        <w:t> </w:t>
      </w:r>
      <w:r>
        <w:t>výrazných dopadů na konkurenceschopnost jednotlivých členských států i celé EU. Proto se</w:t>
      </w:r>
      <w:r w:rsidR="00502E5A">
        <w:t> </w:t>
      </w:r>
      <w:r>
        <w:t xml:space="preserve">domníváme, že by Evropská komise měla před tím, než bude cíle dalšího snižování emisí do unijní legislativy provést vyhodnocení dopadu a analýzu nákladů nejen na úrovni EU, ale také na národní úrovni. </w:t>
      </w:r>
    </w:p>
    <w:p w:rsidR="00F272CF" w:rsidRDefault="00F272CF">
      <w:pPr>
        <w:spacing w:line="360" w:lineRule="auto"/>
        <w:jc w:val="both"/>
      </w:pPr>
      <w:bookmarkStart w:id="0" w:name="_gjdgxs" w:colFirst="0" w:colLast="0"/>
      <w:bookmarkEnd w:id="0"/>
    </w:p>
    <w:p w:rsidR="00F272CF" w:rsidRDefault="0050586D">
      <w:pPr>
        <w:spacing w:line="360" w:lineRule="auto"/>
        <w:jc w:val="both"/>
      </w:pPr>
      <w:bookmarkStart w:id="1" w:name="_t2oew279otzm" w:colFirst="0" w:colLast="0"/>
      <w:bookmarkEnd w:id="1"/>
      <w:r>
        <w:t>ČPS je přesvědčen, že plynárenský sektor bude i nadále hrát významnou roli ve snižování emisí, a</w:t>
      </w:r>
      <w:r w:rsidR="00502E5A">
        <w:t> </w:t>
      </w:r>
      <w:r>
        <w:t>to</w:t>
      </w:r>
      <w:r w:rsidR="00502E5A">
        <w:t> </w:t>
      </w:r>
      <w:r>
        <w:t>zejména s ohledem na velmi ambiciózní navržený časový harmonogram Evropské zelené dohody snížit emise skleníkových plynů do roku 2030 o 50–55 %, namísto o aktuálně platných 40 %, ve srovnání s úrovní roku 1990. Vzhledem k tomu, že spalování zemního plynu uvolňuje o 40 % méně emisí CO</w:t>
      </w:r>
      <w:r>
        <w:rPr>
          <w:vertAlign w:val="subscript"/>
        </w:rPr>
        <w:t>2</w:t>
      </w:r>
      <w:r>
        <w:t xml:space="preserve"> na</w:t>
      </w:r>
      <w:r w:rsidR="00502E5A">
        <w:t> </w:t>
      </w:r>
      <w:r>
        <w:t>jednotku energetického výkonu než uhlí a zhruba o 20 % méně než ropné produkty, může být takového snížení emisí v tak krátkém časovém horizontu dosaženo pouze přechodem z uhlí/ropy na</w:t>
      </w:r>
      <w:r w:rsidR="00502E5A">
        <w:t> </w:t>
      </w:r>
      <w:r>
        <w:t>zemní plyn. Dalším benefitem zemního plynu jsou významně nižší emise hlavních škodlivin/polutantů znečišťujících ovzduší jako jsou PM</w:t>
      </w:r>
      <w:r>
        <w:rPr>
          <w:vertAlign w:val="subscript"/>
        </w:rPr>
        <w:t>2,5</w:t>
      </w:r>
      <w:r>
        <w:t>, oxidy síry (zejména SO</w:t>
      </w:r>
      <w:r>
        <w:rPr>
          <w:vertAlign w:val="subscript"/>
        </w:rPr>
        <w:t>2</w:t>
      </w:r>
      <w:r>
        <w:t>) a oxidy dusíku (NO</w:t>
      </w:r>
      <w:r>
        <w:rPr>
          <w:vertAlign w:val="subscript"/>
        </w:rPr>
        <w:t>x</w:t>
      </w:r>
      <w:r>
        <w:t xml:space="preserve">). </w:t>
      </w:r>
    </w:p>
    <w:p w:rsidR="00F272CF" w:rsidRDefault="00F272CF">
      <w:pPr>
        <w:spacing w:line="360" w:lineRule="auto"/>
        <w:jc w:val="both"/>
      </w:pPr>
    </w:p>
    <w:p w:rsidR="00F272CF" w:rsidRDefault="0050586D">
      <w:pPr>
        <w:spacing w:line="360" w:lineRule="auto"/>
        <w:jc w:val="both"/>
      </w:pPr>
      <w:r>
        <w:t>Ve střednědobém horizontu bude v energetickém mixu více intermitentních obnovitelných zdrojů energie (větrné a solární elektrárny) a vysoká flexibilita plynárenské infrastruktury bude pro efektivní nasazování těchto zdrojů nezbytná. Díky konceptu power-to-gas a dalším novým technologiím a díky optimalizaci propojení mezi plynárenskými a elektrárenskými soustavami bude evropská plynárenská infrastruktura se</w:t>
      </w:r>
      <w:r w:rsidR="00502E5A">
        <w:t> </w:t>
      </w:r>
      <w:r>
        <w:t>svými velkými skladovacími kapacitami podporovat další nasazování obnovitelných zdrojů energie bez</w:t>
      </w:r>
      <w:r w:rsidR="00502E5A">
        <w:t> </w:t>
      </w:r>
      <w:r>
        <w:t>nutnosti vysokých investic do elektrárenských sítí. Nicméně tento slibný potenciál propojování sektorů elektroenergetiky a plynárenství se bude moci plně realizovat pouze v případě jasného a</w:t>
      </w:r>
      <w:r w:rsidR="00502E5A">
        <w:t xml:space="preserve"> stabilního </w:t>
      </w:r>
      <w:r>
        <w:t xml:space="preserve">regulatorního rámce, který podpoří modernizaci a změnu využívání již existující plynárenské infrastruktury (pro nové druhy plynů). </w:t>
      </w:r>
    </w:p>
    <w:p w:rsidR="00F272CF" w:rsidRDefault="00F272CF">
      <w:pPr>
        <w:spacing w:line="360" w:lineRule="auto"/>
        <w:jc w:val="both"/>
      </w:pPr>
    </w:p>
    <w:p w:rsidR="00F272CF" w:rsidRDefault="0050586D">
      <w:pPr>
        <w:spacing w:line="360" w:lineRule="auto"/>
        <w:jc w:val="both"/>
      </w:pPr>
      <w:r>
        <w:lastRenderedPageBreak/>
        <w:t>V dlouhodobém horizontu bude pro dosažení klimatických cílů do roku 2050 nákladově co</w:t>
      </w:r>
      <w:r w:rsidR="00502E5A">
        <w:t> </w:t>
      </w:r>
      <w:r>
        <w:t>nejefektivnějším způsobem klíčový vyšší podíl obnovitel</w:t>
      </w:r>
      <w:r w:rsidR="00502E5A">
        <w:t xml:space="preserve">ných a dekarbonizovaných plynů </w:t>
      </w:r>
      <w:r>
        <w:t>klíčový. ČPS</w:t>
      </w:r>
      <w:r w:rsidR="00502E5A">
        <w:t> </w:t>
      </w:r>
      <w:r>
        <w:t xml:space="preserve">se domnívá, že významnou roli při snižování emisí skleníkových plynů budou hrát nové druhy plynů, jako jsou vodík, syntetický metan a biometan a technologie jako zachycování a skladování/využívání uhlíku (CCS/U), jakož i technologie parní reformace a pyrolýzy metanu. Provozovatelé plynárenské infrastruktury již začali investovat do výzkumných a rozvojových projektů a do pilotních projektů s cílem rozvíjet obnovitelné plyny a vyvíjet zařízení na konverzi energie (power-to-gas) a uskladňovací zařízení. Jsme přesvědčeni, že zemní plyn bude i v nízkouhlíkové energetice využíván jako vstupní surovina v průmyslovém sektoru vzhledem k tomu, že momentálně nemá alternativu. </w:t>
      </w:r>
    </w:p>
    <w:p w:rsidR="00F272CF" w:rsidRDefault="00F272CF">
      <w:pPr>
        <w:spacing w:line="360" w:lineRule="auto"/>
        <w:jc w:val="both"/>
      </w:pPr>
    </w:p>
    <w:p w:rsidR="00F272CF" w:rsidRDefault="0050586D">
      <w:pPr>
        <w:spacing w:line="360" w:lineRule="auto"/>
        <w:jc w:val="both"/>
      </w:pPr>
      <w:r>
        <w:t>Oceňujeme, že do konceptu Evropské zelené dohody byly zahrnuty principy technologické neutrality, které pomohou dosáhnout klimatických cílů z ekonomického hlediska co nejefektivnějším způsobem. V</w:t>
      </w:r>
      <w:r w:rsidR="00502E5A">
        <w:t> </w:t>
      </w:r>
      <w:r>
        <w:t>této souvislosti je důležité, aby připravované politiky Evropské zelené dohody vzaly v úvahu potenciál a</w:t>
      </w:r>
      <w:r w:rsidR="00502E5A">
        <w:t> </w:t>
      </w:r>
      <w:r>
        <w:t>nákladovou výhodnost, které nabízí využití existující plynárenské infrastruktury. Jsme přesvědčeni, že</w:t>
      </w:r>
      <w:r w:rsidR="00502E5A">
        <w:t> </w:t>
      </w:r>
      <w:r>
        <w:t>nové technologie v oblasti zemního plynu, dekarbonizovaných a obnovitelných plynů prokážou, že</w:t>
      </w:r>
      <w:r w:rsidR="00502E5A">
        <w:t> </w:t>
      </w:r>
      <w:r>
        <w:t>představují nejefektivnější způsob, jak dosáhnout klimatických cílů. Proto bude nutná úprava stávajícího regulatorního rámce tak, aby podporovala a pomocí pobídek stimulovala rozvinutí těchto nových technologií a  umožnila strukturální změnu trhu v důsledku integrace plynárenství se sektory elektroenergetiky a teplárenství.</w:t>
      </w:r>
    </w:p>
    <w:p w:rsidR="00F272CF" w:rsidRDefault="00F272CF">
      <w:pPr>
        <w:spacing w:line="360" w:lineRule="auto"/>
        <w:jc w:val="both"/>
      </w:pPr>
    </w:p>
    <w:p w:rsidR="00F272CF" w:rsidRDefault="0050586D" w:rsidP="00502E5A">
      <w:pPr>
        <w:spacing w:line="360" w:lineRule="auto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Revize právních předpisů týkajících se emisních standardů pro emise CO</w:t>
      </w:r>
      <w:r>
        <w:rPr>
          <w:color w:val="222222"/>
          <w:highlight w:val="white"/>
          <w:vertAlign w:val="subscript"/>
        </w:rPr>
        <w:t>2</w:t>
      </w:r>
      <w:r>
        <w:rPr>
          <w:color w:val="222222"/>
          <w:highlight w:val="white"/>
        </w:rPr>
        <w:t xml:space="preserve"> generované osobními automobily a dodávkami by se měla zaměřit zejména na zpracování metodiky pro měření emisí v celém životním cyklu (WtW), ne jen na výfuku (TtW).</w:t>
      </w:r>
    </w:p>
    <w:p w:rsidR="00F272CF" w:rsidRDefault="00F272CF">
      <w:pPr>
        <w:spacing w:line="360" w:lineRule="auto"/>
        <w:ind w:left="720"/>
        <w:rPr>
          <w:color w:val="222222"/>
          <w:highlight w:val="white"/>
        </w:rPr>
      </w:pPr>
    </w:p>
    <w:p w:rsidR="00F272CF" w:rsidRDefault="00F272CF">
      <w:pPr>
        <w:spacing w:line="360" w:lineRule="auto"/>
        <w:jc w:val="both"/>
      </w:pPr>
    </w:p>
    <w:p w:rsidR="00F272CF" w:rsidRDefault="0050586D">
      <w:pPr>
        <w:spacing w:line="360" w:lineRule="auto"/>
        <w:jc w:val="both"/>
      </w:pPr>
      <w:r>
        <w:br w:type="page"/>
      </w:r>
    </w:p>
    <w:p w:rsidR="00F272CF" w:rsidRDefault="0050586D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Key message:</w:t>
      </w:r>
    </w:p>
    <w:p w:rsidR="00F272CF" w:rsidRDefault="0050586D" w:rsidP="0050586D">
      <w:pPr>
        <w:numPr>
          <w:ilvl w:val="0"/>
          <w:numId w:val="1"/>
        </w:numPr>
        <w:spacing w:line="360" w:lineRule="auto"/>
        <w:jc w:val="both"/>
      </w:pPr>
      <w:r>
        <w:t>Nové a více ambiciózní cíle pro rok 2030 nebude možné v regionu střední Evropy dosáhnout bez přechodu z uhlí/ropných produktů na zemní plyn.</w:t>
      </w:r>
    </w:p>
    <w:p w:rsidR="00F272CF" w:rsidRDefault="0050586D" w:rsidP="0050586D">
      <w:pPr>
        <w:numPr>
          <w:ilvl w:val="0"/>
          <w:numId w:val="1"/>
        </w:numPr>
        <w:spacing w:line="360" w:lineRule="auto"/>
        <w:jc w:val="both"/>
      </w:pPr>
      <w:r>
        <w:t>Při dosahování těchto cílů musí být vzat v úvahu rozdílný energetický mix a různý potenciál členských zemí.</w:t>
      </w:r>
    </w:p>
    <w:p w:rsidR="00F272CF" w:rsidRDefault="0050586D" w:rsidP="0050586D">
      <w:pPr>
        <w:numPr>
          <w:ilvl w:val="0"/>
          <w:numId w:val="1"/>
        </w:numPr>
        <w:spacing w:line="360" w:lineRule="auto"/>
        <w:jc w:val="both"/>
      </w:pPr>
      <w:r>
        <w:t>ČPS je přesvědčen, že vyšší podíl alternativních paliv jako CNG, LNG, H</w:t>
      </w:r>
      <w:r>
        <w:rPr>
          <w:vertAlign w:val="subscript"/>
        </w:rPr>
        <w:t>2</w:t>
      </w:r>
      <w:r>
        <w:t>, bioCNG, bude jedním z nejlevnějších a nejefektivnějších způsobů, jak dosáhnout cílů Grean Dealu.</w:t>
      </w:r>
    </w:p>
    <w:p w:rsidR="00F272CF" w:rsidRDefault="0050586D" w:rsidP="0050586D">
      <w:pPr>
        <w:numPr>
          <w:ilvl w:val="0"/>
          <w:numId w:val="1"/>
        </w:numPr>
        <w:spacing w:line="360" w:lineRule="auto"/>
        <w:jc w:val="both"/>
      </w:pPr>
      <w:r>
        <w:t>Investoři potřebují stabilní regulatorní rámec, který umožní v investičním horizontu 10+ let testovat nové technologie. Pokud chce EU respektovat technologickou neutralitu, takový regulatorní rámec musí být zaveden.</w:t>
      </w:r>
    </w:p>
    <w:p w:rsidR="00F272CF" w:rsidRDefault="0050586D" w:rsidP="0050586D">
      <w:pPr>
        <w:numPr>
          <w:ilvl w:val="0"/>
          <w:numId w:val="1"/>
        </w:numPr>
        <w:spacing w:line="360" w:lineRule="auto"/>
        <w:jc w:val="both"/>
      </w:pPr>
      <w:r>
        <w:t>Jsme toho názoru, že vysoká flexibilita plynárenské infrastruktury bude nezbytná pro efektivní nasazování intermitentních obnovitelných zdrojů energie (větrné a solární elektrárny) včetně řešení problému dlouhodobé akumulace energie</w:t>
      </w:r>
    </w:p>
    <w:p w:rsidR="00F272CF" w:rsidRDefault="00F272CF">
      <w:pPr>
        <w:spacing w:line="360" w:lineRule="auto"/>
        <w:jc w:val="both"/>
        <w:rPr>
          <w:b/>
          <w:u w:val="single"/>
        </w:rPr>
      </w:pPr>
    </w:p>
    <w:p w:rsidR="00F272CF" w:rsidRDefault="00F272CF">
      <w:pPr>
        <w:spacing w:line="360" w:lineRule="auto"/>
        <w:jc w:val="both"/>
        <w:rPr>
          <w:b/>
          <w:u w:val="single"/>
        </w:rPr>
      </w:pPr>
    </w:p>
    <w:p w:rsidR="00F272CF" w:rsidRDefault="0050586D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Zkrácené stanovisko ke Green Deal:</w:t>
      </w:r>
    </w:p>
    <w:p w:rsidR="00F272CF" w:rsidRDefault="0050586D">
      <w:pPr>
        <w:numPr>
          <w:ilvl w:val="0"/>
          <w:numId w:val="4"/>
        </w:numPr>
        <w:spacing w:line="360" w:lineRule="auto"/>
        <w:ind w:left="425" w:hanging="425"/>
        <w:jc w:val="both"/>
      </w:pPr>
      <w:r>
        <w:t>Vzhledem k významným rozdílům ve struktuře ekonomik a energetických mixů jednotlivých členských států EU se ČPS domnívá, že klíčovým prvkem energetického přechodu, a tedy celé Evropské zelené dohody bude, aby odrážel regionální rozdíly v rámci EU i odlišný potenciál každého členského státu dosáhnout klimaticko-energetických cílů nákladově efektivním způsobem a bez výrazných dopadů na konkurenceschopnost jednotlivých států i celé EU.</w:t>
      </w:r>
    </w:p>
    <w:p w:rsidR="00F272CF" w:rsidRDefault="0050586D">
      <w:pPr>
        <w:numPr>
          <w:ilvl w:val="0"/>
          <w:numId w:val="4"/>
        </w:numPr>
        <w:spacing w:line="360" w:lineRule="auto"/>
        <w:ind w:left="425" w:hanging="425"/>
        <w:jc w:val="both"/>
      </w:pPr>
      <w:r>
        <w:t>Jsme přesvědčeni, že plynárenství představuje v českém, evropském ale i globálním měřítku, nezbytnou součást úspěšného přechodu k nízkouhlíkovému hospodářství a zůstane integrální součástí energetiky i v budoucnu.</w:t>
      </w:r>
    </w:p>
    <w:p w:rsidR="00F272CF" w:rsidRDefault="0050586D">
      <w:pPr>
        <w:numPr>
          <w:ilvl w:val="0"/>
          <w:numId w:val="4"/>
        </w:numPr>
        <w:spacing w:line="360" w:lineRule="auto"/>
        <w:ind w:left="425" w:hanging="425"/>
        <w:jc w:val="both"/>
      </w:pPr>
      <w:r>
        <w:t>Oceňujeme, že byly do konceptu Evropské zelené dohody zahrnuty principy technologické neutrality, které napomohou dosáhnout klimatických cílů z ekonomického hlediska co nejefektivnějším způsobem. V této souvislosti je důležité, aby připravované politiky Evropské zelené dohody vzaly v úvahu potenciál a nákladovou výhodnost, které nabízí využití existující plynárenské infrastruktury.</w:t>
      </w:r>
    </w:p>
    <w:p w:rsidR="00F272CF" w:rsidRDefault="0050586D">
      <w:pPr>
        <w:numPr>
          <w:ilvl w:val="0"/>
          <w:numId w:val="4"/>
        </w:numPr>
        <w:spacing w:line="360" w:lineRule="auto"/>
        <w:ind w:left="425" w:hanging="425"/>
        <w:jc w:val="both"/>
      </w:pPr>
      <w:r>
        <w:t>Vzhledem k velkému množství plánovaných zásahů do evropských právních předpisů, poukazujeme na hrozbu zvýšení tržní nejistoty investorů vůči stabilitě legislativního a regulatorního prostředí.</w:t>
      </w:r>
    </w:p>
    <w:p w:rsidR="00F272CF" w:rsidRDefault="0050586D">
      <w:pPr>
        <w:numPr>
          <w:ilvl w:val="0"/>
          <w:numId w:val="4"/>
        </w:numPr>
        <w:spacing w:line="360" w:lineRule="auto"/>
        <w:ind w:left="425" w:hanging="425"/>
        <w:jc w:val="both"/>
      </w:pPr>
      <w:r>
        <w:t>Český plynárenský svaz také upozorňuje na negativní důsledky dalšího rychlého zpřísňování emisních limitů pro nové automobily (k poslednímu zpřísnění došlo na konci roku 2018). V oblasti čisté mobility je nezbytné respektovat princip technologické neutrality a umožnit rovný přístup ke všem alternativním palivům (CNG, LNG, vodík) a postupnému přechodu na jejich ekologičtější alternativy (zejména bioCNG a bioLNG).</w:t>
      </w:r>
    </w:p>
    <w:p w:rsidR="00F272CF" w:rsidRDefault="0050586D">
      <w:pPr>
        <w:numPr>
          <w:ilvl w:val="0"/>
          <w:numId w:val="4"/>
        </w:numPr>
        <w:spacing w:line="360" w:lineRule="auto"/>
        <w:ind w:left="425" w:hanging="425"/>
      </w:pPr>
      <w:r>
        <w:rPr>
          <w:color w:val="222222"/>
          <w:highlight w:val="white"/>
        </w:rPr>
        <w:lastRenderedPageBreak/>
        <w:t>Revize právních předpisů týkajících se emisních standardů pro emise CO</w:t>
      </w:r>
      <w:r>
        <w:rPr>
          <w:color w:val="222222"/>
          <w:highlight w:val="white"/>
          <w:vertAlign w:val="subscript"/>
        </w:rPr>
        <w:t>2</w:t>
      </w:r>
      <w:r>
        <w:rPr>
          <w:color w:val="222222"/>
          <w:highlight w:val="white"/>
        </w:rPr>
        <w:t xml:space="preserve"> generované osobními automobily a dodávkami by se měla zaměřit zejména na zpracování metodiky pro měření emisí v celém životním cyklu (WtW), ne jen na výfuku (TtW).</w:t>
      </w:r>
    </w:p>
    <w:p w:rsidR="00F272CF" w:rsidRDefault="0050586D">
      <w:pPr>
        <w:spacing w:line="360" w:lineRule="auto"/>
        <w:jc w:val="both"/>
      </w:pPr>
      <w:r>
        <w:t xml:space="preserve"> </w:t>
      </w:r>
    </w:p>
    <w:p w:rsidR="00F272CF" w:rsidRDefault="0050586D">
      <w:pPr>
        <w:spacing w:line="360" w:lineRule="auto"/>
        <w:jc w:val="both"/>
      </w:pPr>
      <w:r>
        <w:rPr>
          <w:b/>
        </w:rPr>
        <w:t>Zvýšení ambice ve snižování emisí skleníkových plynů ze současných 40 % na nových 50 – 55 % do roku 2030</w:t>
      </w:r>
      <w:r>
        <w:t>.</w:t>
      </w:r>
    </w:p>
    <w:p w:rsidR="00F272CF" w:rsidRDefault="0050586D">
      <w:pPr>
        <w:numPr>
          <w:ilvl w:val="0"/>
          <w:numId w:val="2"/>
        </w:numPr>
        <w:spacing w:line="360" w:lineRule="auto"/>
        <w:ind w:left="425" w:hanging="425"/>
        <w:jc w:val="both"/>
      </w:pPr>
      <w:r>
        <w:t>Jsme přesvědčeni, že plynárenský sektor bude i nadále hrát významnou roli ve snižování emisí. A to zejména s ohledem na velmi ambiciózní navržený časový harmonogram Evropské zelené dohody snížit emise skleníkových plynů do roku 2030 o 50–55 %, namísto aktuálně platných 40 %, ve srovnání s úrovní roku 1990. Vzhledem k tomu, že spalování zemního plynu uvolňuje o 40 % méně emisí CO</w:t>
      </w:r>
      <w:r>
        <w:rPr>
          <w:vertAlign w:val="subscript"/>
        </w:rPr>
        <w:t>2</w:t>
      </w:r>
      <w:r>
        <w:t xml:space="preserve"> na jednotku energetického výkonu než uhlí a zhruba o 20 % méně než ropné produkty, může být takového snížení emisí v tak krátkém časovém horizontu dosaženo pouze přechodem z uhlí/ropy na zemní plyn. Nárůst využití zemního plynu v elektroenergetice a  teplárenství očekává i studie OTE Očekávaná dlouhodobá rovnováha mezi nabídkou a poptávkou elektřiny a plynu z prosince 2019 (obrázek 7.2, str. 28). </w:t>
      </w:r>
    </w:p>
    <w:p w:rsidR="00F272CF" w:rsidRDefault="0050586D">
      <w:pPr>
        <w:numPr>
          <w:ilvl w:val="0"/>
          <w:numId w:val="2"/>
        </w:numPr>
        <w:spacing w:line="360" w:lineRule="auto"/>
        <w:ind w:left="425" w:hanging="425"/>
      </w:pPr>
      <w:r>
        <w:rPr>
          <w:color w:val="222222"/>
          <w:highlight w:val="white"/>
        </w:rPr>
        <w:t>Zemní plyn může pomoci České republice na cestě k nízkoemisní energetice navzdory predikované rostoucí poptávce a jeho fosilnímu charakteru. I přes uvažovanou instalaci mnoha nových zdrojů na zemní plyn lze v ČR dosáhnout poklesu emisí CO</w:t>
      </w:r>
      <w:r>
        <w:rPr>
          <w:color w:val="222222"/>
          <w:highlight w:val="white"/>
          <w:vertAlign w:val="subscript"/>
        </w:rPr>
        <w:t>2</w:t>
      </w:r>
      <w:r>
        <w:rPr>
          <w:color w:val="222222"/>
          <w:highlight w:val="white"/>
        </w:rPr>
        <w:t xml:space="preserve"> při výrobě elektřiny a tepla v KVET o 76 až 87 % mezi roky 2005 a 2060.</w:t>
      </w:r>
    </w:p>
    <w:p w:rsidR="00F272CF" w:rsidRDefault="0050586D">
      <w:pPr>
        <w:numPr>
          <w:ilvl w:val="0"/>
          <w:numId w:val="2"/>
        </w:numPr>
        <w:spacing w:line="360" w:lineRule="auto"/>
        <w:ind w:left="425" w:hanging="425"/>
        <w:jc w:val="both"/>
      </w:pPr>
      <w:r>
        <w:t>Jsme toho názoru, že vysoká flexibilita plynárenské infrastruktury bude nezbytná pro efektivní nasazování intermitentních obnovitelných zdrojů energie (větrné a solární elektrárny) včetně řešení problému dlouhodobé akumulace energie.</w:t>
      </w:r>
    </w:p>
    <w:p w:rsidR="00F272CF" w:rsidRDefault="0050586D">
      <w:pPr>
        <w:numPr>
          <w:ilvl w:val="0"/>
          <w:numId w:val="2"/>
        </w:numPr>
        <w:spacing w:line="360" w:lineRule="auto"/>
        <w:ind w:left="425" w:hanging="425"/>
        <w:jc w:val="both"/>
      </w:pPr>
      <w:r>
        <w:t xml:space="preserve">Díky optimalizaci propojení mezi plynárenskými a elektrárenskými soustavami, power-to-gas a dalším novým technologiím evropská plynárenská infrastruktura se svými velkými skladovacími kapacitami umožní další rozvoj obnovitelných zdrojů energie bez nutnosti vysokých investic do elektrárenských sítí. Studie </w:t>
      </w:r>
      <w:r>
        <w:rPr>
          <w:i/>
        </w:rPr>
        <w:t xml:space="preserve"> </w:t>
      </w:r>
      <w:r>
        <w:t xml:space="preserve">toto potvrzuje konkrétně </w:t>
      </w:r>
      <w:r>
        <w:rPr>
          <w:i/>
        </w:rPr>
        <w:t>The Value of Gas Infrastructure in a Climate-neutral Europe od Frontier Economics</w:t>
      </w:r>
      <w:r>
        <w:t xml:space="preserve"> i v případě České republiky (str. 153).</w:t>
      </w:r>
    </w:p>
    <w:p w:rsidR="00F272CF" w:rsidRDefault="0050586D">
      <w:pPr>
        <w:spacing w:line="360" w:lineRule="auto"/>
        <w:jc w:val="both"/>
      </w:pPr>
      <w:r>
        <w:t xml:space="preserve"> </w:t>
      </w:r>
    </w:p>
    <w:p w:rsidR="00F272CF" w:rsidRDefault="0050586D">
      <w:pPr>
        <w:spacing w:line="360" w:lineRule="auto"/>
        <w:jc w:val="both"/>
        <w:rPr>
          <w:b/>
        </w:rPr>
      </w:pPr>
      <w:r>
        <w:rPr>
          <w:b/>
        </w:rPr>
        <w:t>Klimatická neutralita 2050</w:t>
      </w:r>
    </w:p>
    <w:p w:rsidR="00F272CF" w:rsidRDefault="0050586D">
      <w:pPr>
        <w:numPr>
          <w:ilvl w:val="0"/>
          <w:numId w:val="3"/>
        </w:numPr>
        <w:spacing w:line="360" w:lineRule="auto"/>
        <w:ind w:left="425" w:hanging="425"/>
        <w:jc w:val="both"/>
      </w:pPr>
      <w:r>
        <w:t>V dlouhodobém horizontu bude vyšší podíl obnovitelných a dekarbonizovaných plynů klíčový pro dosažení klimatických cílů do roku 2050 nákladově nejefektivnějším způsobem. Domníváme se, že nové druhy plynů jako jsou vodík, syntetický metan a biometan a technologie jako zachycování a skladování/využívání uhlíku (CCS/U), parní reformace a pyrolýza zemního plynu budou hrát významnou roli při snižování emisí skleníkových plynů.</w:t>
      </w:r>
    </w:p>
    <w:p w:rsidR="00F272CF" w:rsidRDefault="0050586D">
      <w:pPr>
        <w:numPr>
          <w:ilvl w:val="0"/>
          <w:numId w:val="3"/>
        </w:numPr>
        <w:spacing w:line="360" w:lineRule="auto"/>
        <w:ind w:left="425" w:hanging="425"/>
        <w:jc w:val="both"/>
      </w:pPr>
      <w:r>
        <w:t>Jsme přesvědčeni, že zemní plyn bude i v nízkouhlíkové energetice využíván jako vstupní surovina v </w:t>
      </w:r>
      <w:bookmarkStart w:id="2" w:name="_GoBack"/>
      <w:bookmarkEnd w:id="2"/>
      <w:r>
        <w:t>průmyslovém sektoru vzhledem k tomu, že momentálně nemá alternativu.</w:t>
      </w:r>
    </w:p>
    <w:p w:rsidR="00F272CF" w:rsidRDefault="0050586D">
      <w:pPr>
        <w:numPr>
          <w:ilvl w:val="0"/>
          <w:numId w:val="3"/>
        </w:numPr>
        <w:spacing w:line="360" w:lineRule="auto"/>
        <w:ind w:left="425" w:hanging="425"/>
        <w:jc w:val="both"/>
      </w:pPr>
      <w:r>
        <w:lastRenderedPageBreak/>
        <w:t>Pro maximalizaci výhod z využití sector couplingu bude nutná úprava stávajícího regulatorního rámce k podpoře a pobídkám rozvoje nových technologií a k umožnění propojení sektorů plynárenství, elektroenergetiky a teplárenství (Regulatory sandbox principles).</w:t>
      </w:r>
    </w:p>
    <w:p w:rsidR="00F272CF" w:rsidRDefault="00F272CF">
      <w:pPr>
        <w:spacing w:line="360" w:lineRule="auto"/>
        <w:jc w:val="both"/>
      </w:pPr>
    </w:p>
    <w:sectPr w:rsidR="00F272CF" w:rsidSect="00D9236C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33F"/>
    <w:multiLevelType w:val="multilevel"/>
    <w:tmpl w:val="55983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3B177DB"/>
    <w:multiLevelType w:val="multilevel"/>
    <w:tmpl w:val="B1F82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E9C4686"/>
    <w:multiLevelType w:val="multilevel"/>
    <w:tmpl w:val="8522C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26172CF"/>
    <w:multiLevelType w:val="multilevel"/>
    <w:tmpl w:val="865A9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272CF"/>
    <w:rsid w:val="00502E5A"/>
    <w:rsid w:val="0050586D"/>
    <w:rsid w:val="009E23BC"/>
    <w:rsid w:val="00D9236C"/>
    <w:rsid w:val="00F2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9236C"/>
  </w:style>
  <w:style w:type="paragraph" w:styleId="Nadpis1">
    <w:name w:val="heading 1"/>
    <w:basedOn w:val="Normln"/>
    <w:next w:val="Normln"/>
    <w:rsid w:val="00D9236C"/>
    <w:pPr>
      <w:keepNext/>
      <w:keepLines/>
      <w:spacing w:before="240"/>
      <w:outlineLvl w:val="0"/>
    </w:pPr>
    <w:rPr>
      <w:color w:val="002395"/>
      <w:sz w:val="32"/>
      <w:szCs w:val="32"/>
    </w:rPr>
  </w:style>
  <w:style w:type="paragraph" w:styleId="Nadpis2">
    <w:name w:val="heading 2"/>
    <w:basedOn w:val="Normln"/>
    <w:next w:val="Normln"/>
    <w:rsid w:val="00D9236C"/>
    <w:pPr>
      <w:keepNext/>
      <w:keepLines/>
      <w:spacing w:before="40"/>
      <w:outlineLvl w:val="1"/>
    </w:pPr>
    <w:rPr>
      <w:color w:val="002395"/>
      <w:sz w:val="26"/>
      <w:szCs w:val="26"/>
    </w:rPr>
  </w:style>
  <w:style w:type="paragraph" w:styleId="Nadpis3">
    <w:name w:val="heading 3"/>
    <w:basedOn w:val="Normln"/>
    <w:next w:val="Normln"/>
    <w:rsid w:val="00D9236C"/>
    <w:pPr>
      <w:keepNext/>
      <w:keepLines/>
      <w:spacing w:before="40"/>
      <w:outlineLvl w:val="2"/>
    </w:pPr>
    <w:rPr>
      <w:color w:val="002395"/>
      <w:sz w:val="24"/>
      <w:szCs w:val="24"/>
    </w:rPr>
  </w:style>
  <w:style w:type="paragraph" w:styleId="Nadpis4">
    <w:name w:val="heading 4"/>
    <w:basedOn w:val="Normln"/>
    <w:next w:val="Normln"/>
    <w:rsid w:val="00D9236C"/>
    <w:pPr>
      <w:keepNext/>
      <w:keepLines/>
      <w:spacing w:before="40"/>
      <w:outlineLvl w:val="3"/>
    </w:pPr>
    <w:rPr>
      <w:i/>
      <w:color w:val="002395"/>
    </w:rPr>
  </w:style>
  <w:style w:type="paragraph" w:styleId="Nadpis5">
    <w:name w:val="heading 5"/>
    <w:basedOn w:val="Normln"/>
    <w:next w:val="Normln"/>
    <w:rsid w:val="00D9236C"/>
    <w:pPr>
      <w:keepNext/>
      <w:keepLines/>
      <w:spacing w:before="40"/>
      <w:outlineLvl w:val="4"/>
    </w:pPr>
    <w:rPr>
      <w:color w:val="002395"/>
    </w:rPr>
  </w:style>
  <w:style w:type="paragraph" w:styleId="Nadpis6">
    <w:name w:val="heading 6"/>
    <w:basedOn w:val="Normln"/>
    <w:next w:val="Normln"/>
    <w:rsid w:val="00D9236C"/>
    <w:pPr>
      <w:keepNext/>
      <w:keepLines/>
      <w:spacing w:before="40"/>
      <w:outlineLvl w:val="5"/>
    </w:pPr>
    <w:rPr>
      <w:color w:val="00239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D923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D9236C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D923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/>
      <w:outlineLvl w:val="0"/>
    </w:pPr>
    <w:rPr>
      <w:color w:val="002395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40"/>
      <w:outlineLvl w:val="1"/>
    </w:pPr>
    <w:rPr>
      <w:color w:val="002395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40"/>
      <w:outlineLvl w:val="2"/>
    </w:pPr>
    <w:rPr>
      <w:color w:val="002395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40"/>
      <w:outlineLvl w:val="3"/>
    </w:pPr>
    <w:rPr>
      <w:i/>
      <w:color w:val="002395"/>
    </w:rPr>
  </w:style>
  <w:style w:type="paragraph" w:styleId="Nadpis5">
    <w:name w:val="heading 5"/>
    <w:basedOn w:val="Normln"/>
    <w:next w:val="Normln"/>
    <w:pPr>
      <w:keepNext/>
      <w:keepLines/>
      <w:spacing w:before="40"/>
      <w:outlineLvl w:val="4"/>
    </w:pPr>
    <w:rPr>
      <w:color w:val="002395"/>
    </w:rPr>
  </w:style>
  <w:style w:type="paragraph" w:styleId="Nadpis6">
    <w:name w:val="heading 6"/>
    <w:basedOn w:val="Normln"/>
    <w:next w:val="Normln"/>
    <w:pPr>
      <w:keepNext/>
      <w:keepLines/>
      <w:spacing w:before="40"/>
      <w:outlineLvl w:val="5"/>
    </w:pPr>
    <w:rPr>
      <w:color w:val="00239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1509</Words>
  <Characters>8906</Characters>
  <Application>Microsoft Office Word</Application>
  <DocSecurity>0</DocSecurity>
  <Lines>74</Lines>
  <Paragraphs>20</Paragraphs>
  <ScaleCrop>false</ScaleCrop>
  <Company>Microsoft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Pecanek</dc:creator>
  <cp:lastModifiedBy>TP</cp:lastModifiedBy>
  <cp:revision>2</cp:revision>
  <dcterms:created xsi:type="dcterms:W3CDTF">2020-02-07T06:59:00Z</dcterms:created>
  <dcterms:modified xsi:type="dcterms:W3CDTF">2020-02-07T06:59:00Z</dcterms:modified>
</cp:coreProperties>
</file>