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78" w:rsidRDefault="00B51178" w:rsidP="00B5117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51178">
        <w:rPr>
          <w:b/>
          <w:sz w:val="28"/>
          <w:szCs w:val="28"/>
        </w:rPr>
        <w:t>Připomínk</w:t>
      </w:r>
      <w:r w:rsidR="0050461D">
        <w:rPr>
          <w:b/>
          <w:sz w:val="28"/>
          <w:szCs w:val="28"/>
        </w:rPr>
        <w:t>y</w:t>
      </w:r>
      <w:r w:rsidRPr="00B51178">
        <w:rPr>
          <w:b/>
          <w:sz w:val="28"/>
          <w:szCs w:val="28"/>
        </w:rPr>
        <w:t xml:space="preserve"> Českého plynárenského svazu k návrhu </w:t>
      </w:r>
      <w:r w:rsidR="0050461D" w:rsidRPr="0050461D">
        <w:rPr>
          <w:b/>
          <w:sz w:val="28"/>
          <w:szCs w:val="28"/>
        </w:rPr>
        <w:t>vyhlášky, kterou se mění vyhláška č. 78/2013 Sb., o energetické náročnosti budov</w:t>
      </w:r>
    </w:p>
    <w:p w:rsidR="0050461D" w:rsidRDefault="0050461D" w:rsidP="00B51178">
      <w:pPr>
        <w:spacing w:after="0" w:line="240" w:lineRule="auto"/>
        <w:jc w:val="center"/>
        <w:rPr>
          <w:b/>
          <w:sz w:val="28"/>
          <w:szCs w:val="28"/>
        </w:rPr>
      </w:pPr>
    </w:p>
    <w:p w:rsidR="0050461D" w:rsidRDefault="0050461D" w:rsidP="00B51178">
      <w:pPr>
        <w:spacing w:after="0" w:line="240" w:lineRule="auto"/>
        <w:jc w:val="center"/>
        <w:rPr>
          <w:b/>
          <w:sz w:val="28"/>
          <w:szCs w:val="28"/>
        </w:rPr>
      </w:pPr>
    </w:p>
    <w:p w:rsidR="0050461D" w:rsidRPr="008E5DC5" w:rsidRDefault="0050461D" w:rsidP="0050461D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sz w:val="24"/>
          <w:szCs w:val="24"/>
        </w:rPr>
      </w:pPr>
      <w:r w:rsidRPr="008E5DC5">
        <w:rPr>
          <w:b/>
          <w:sz w:val="24"/>
          <w:szCs w:val="24"/>
        </w:rPr>
        <w:t>SHRNUTÍ HLAVNÍCH DOPADŮ PŘEDLOŽENÉHO MATERIÁLU</w:t>
      </w: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</w:p>
    <w:p w:rsidR="0050461D" w:rsidRPr="008E5DC5" w:rsidRDefault="0050461D" w:rsidP="0050461D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i/>
          <w:sz w:val="24"/>
          <w:szCs w:val="24"/>
        </w:rPr>
      </w:pPr>
      <w:r w:rsidRPr="008E5DC5">
        <w:rPr>
          <w:b/>
          <w:sz w:val="24"/>
          <w:szCs w:val="24"/>
        </w:rPr>
        <w:t>OBECNÁ PŘIPOMÍNKA</w:t>
      </w:r>
    </w:p>
    <w:p w:rsidR="0050461D" w:rsidRPr="008E5DC5" w:rsidRDefault="0050461D" w:rsidP="0050461D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8E5DC5">
        <w:rPr>
          <w:sz w:val="24"/>
          <w:szCs w:val="24"/>
        </w:rPr>
        <w:t>Vyhláška obecně nijak nezohledňuje ztráty při výrobě a distribuci energie.</w:t>
      </w:r>
    </w:p>
    <w:p w:rsidR="0050461D" w:rsidRPr="008E5DC5" w:rsidRDefault="0050461D" w:rsidP="0050461D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8E5DC5">
        <w:rPr>
          <w:sz w:val="24"/>
          <w:szCs w:val="24"/>
        </w:rPr>
        <w:t xml:space="preserve">Vyhláška nijak nezohledňuje uhlíkovou stopu jednotlivých </w:t>
      </w:r>
      <w:proofErr w:type="spellStart"/>
      <w:r w:rsidRPr="008E5DC5">
        <w:rPr>
          <w:sz w:val="24"/>
          <w:szCs w:val="24"/>
        </w:rPr>
        <w:t>energonositelů</w:t>
      </w:r>
      <w:proofErr w:type="spellEnd"/>
      <w:r w:rsidRPr="008E5DC5">
        <w:rPr>
          <w:sz w:val="24"/>
          <w:szCs w:val="24"/>
        </w:rPr>
        <w:t>.</w:t>
      </w: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</w:p>
    <w:p w:rsidR="0050461D" w:rsidRPr="008E5DC5" w:rsidRDefault="0050461D" w:rsidP="0050461D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sz w:val="24"/>
          <w:szCs w:val="24"/>
        </w:rPr>
      </w:pPr>
      <w:r w:rsidRPr="008E5DC5">
        <w:rPr>
          <w:b/>
          <w:sz w:val="24"/>
          <w:szCs w:val="24"/>
        </w:rPr>
        <w:t>ZÁSADNÍ KONKRÉTNÍ PŘIPOMÍNKY</w:t>
      </w: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  <w:r w:rsidRPr="008E5DC5">
        <w:rPr>
          <w:b/>
          <w:sz w:val="24"/>
          <w:szCs w:val="24"/>
        </w:rPr>
        <w:t>Připomínky</w:t>
      </w:r>
      <w:r w:rsidRPr="008E5DC5">
        <w:rPr>
          <w:sz w:val="24"/>
          <w:szCs w:val="24"/>
        </w:rPr>
        <w:t xml:space="preserve"> k Příloze č. 3.</w:t>
      </w: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  <w:r w:rsidRPr="008E5DC5">
        <w:rPr>
          <w:sz w:val="24"/>
          <w:szCs w:val="24"/>
        </w:rPr>
        <w:t>1) Příloha č. 3 nezohledňuje ztráty při výrobě a distribuci energie soustavy zásobování tepelnou energií zároveň nejsou zohledněny ve vzorcích a výpočtech.</w:t>
      </w: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  <w:r w:rsidRPr="008E5DC5">
        <w:rPr>
          <w:sz w:val="24"/>
          <w:szCs w:val="24"/>
        </w:rPr>
        <w:t>Požadujeme zohlednit účinnost soustavy ve výpočtu faktoru primární energie podle výkazu Energetického regulačního úřadu s názvem „Výkaz 31, 32-CL a): Výkaz cenové lokality (část a)“.</w:t>
      </w: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  <w:u w:val="single"/>
        </w:rPr>
      </w:pPr>
      <w:r w:rsidRPr="008E5DC5">
        <w:rPr>
          <w:sz w:val="24"/>
          <w:szCs w:val="24"/>
          <w:u w:val="single"/>
        </w:rPr>
        <w:t xml:space="preserve">Odůvodnění: </w:t>
      </w: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  <w:r w:rsidRPr="008E5DC5">
        <w:rPr>
          <w:sz w:val="24"/>
          <w:szCs w:val="24"/>
        </w:rPr>
        <w:t xml:space="preserve">Pro objektivní hodnocení faktoru primární energie mezi jednotlivými </w:t>
      </w:r>
      <w:proofErr w:type="spellStart"/>
      <w:r w:rsidRPr="008E5DC5">
        <w:rPr>
          <w:sz w:val="24"/>
          <w:szCs w:val="24"/>
        </w:rPr>
        <w:t>energonositeli</w:t>
      </w:r>
      <w:proofErr w:type="spellEnd"/>
      <w:r w:rsidRPr="008E5DC5">
        <w:rPr>
          <w:sz w:val="24"/>
          <w:szCs w:val="24"/>
        </w:rPr>
        <w:t xml:space="preserve"> je nezbytné ve vzorcích a výpočtech zohlednit celkovou energetickou účinnost soustavy zásobování tepelnou energií tj. ztráty při výrobě a distribuci tepelné energie, tak aby byly sjednoceny podmínky s ostatními </w:t>
      </w:r>
      <w:proofErr w:type="spellStart"/>
      <w:r w:rsidRPr="008E5DC5">
        <w:rPr>
          <w:sz w:val="24"/>
          <w:szCs w:val="24"/>
        </w:rPr>
        <w:t>energonositeli</w:t>
      </w:r>
      <w:proofErr w:type="spellEnd"/>
      <w:r w:rsidRPr="008E5DC5">
        <w:rPr>
          <w:sz w:val="24"/>
          <w:szCs w:val="24"/>
        </w:rPr>
        <w:t xml:space="preserve"> v případě změny způsobu vytápění budovy připojené na soustavu zásobování tepelnou energií</w:t>
      </w:r>
      <w:r w:rsidR="008E5DC5">
        <w:rPr>
          <w:sz w:val="24"/>
          <w:szCs w:val="24"/>
        </w:rPr>
        <w:t xml:space="preserve"> na jiný zdroj, a </w:t>
      </w:r>
      <w:r w:rsidRPr="008E5DC5">
        <w:rPr>
          <w:sz w:val="24"/>
          <w:szCs w:val="24"/>
        </w:rPr>
        <w:t>to podle existujícího výše uvedeného výkazu ERÚ.</w:t>
      </w: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  <w:r w:rsidRPr="008E5DC5">
        <w:rPr>
          <w:sz w:val="24"/>
          <w:szCs w:val="24"/>
        </w:rPr>
        <w:t xml:space="preserve">2) Příloha č. 3 nezohledňuje v definovaných faktorech primární energie uhlíkovou stopu jednotlivých </w:t>
      </w:r>
      <w:proofErr w:type="spellStart"/>
      <w:r w:rsidRPr="008E5DC5">
        <w:rPr>
          <w:sz w:val="24"/>
          <w:szCs w:val="24"/>
        </w:rPr>
        <w:t>energonositelů</w:t>
      </w:r>
      <w:proofErr w:type="spellEnd"/>
      <w:r w:rsidRPr="008E5DC5">
        <w:rPr>
          <w:sz w:val="24"/>
          <w:szCs w:val="24"/>
        </w:rPr>
        <w:t>, např. kotelna na zemní plyn má stejný faktor jako kotelna na hnědé uhlí.</w:t>
      </w: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  <w:r w:rsidRPr="008E5DC5">
        <w:rPr>
          <w:sz w:val="24"/>
          <w:szCs w:val="24"/>
        </w:rPr>
        <w:t xml:space="preserve">Požadujeme odlišit faktory primární energie dle jejich uhlíkové stopy, např. hnědé uhlí 1,3, zemní plyn 1 dle skutečných emisních faktorů (pro ilustraci – např. na portále </w:t>
      </w:r>
      <w:proofErr w:type="spellStart"/>
      <w:r w:rsidRPr="008E5DC5">
        <w:rPr>
          <w:sz w:val="24"/>
          <w:szCs w:val="24"/>
        </w:rPr>
        <w:t>TZB</w:t>
      </w:r>
      <w:proofErr w:type="spellEnd"/>
      <w:r w:rsidRPr="008E5DC5">
        <w:rPr>
          <w:sz w:val="24"/>
          <w:szCs w:val="24"/>
        </w:rPr>
        <w:t>-</w:t>
      </w:r>
      <w:proofErr w:type="spellStart"/>
      <w:r w:rsidRPr="008E5DC5">
        <w:rPr>
          <w:sz w:val="24"/>
          <w:szCs w:val="24"/>
        </w:rPr>
        <w:t>INFO</w:t>
      </w:r>
      <w:proofErr w:type="spellEnd"/>
      <w:r w:rsidRPr="008E5DC5">
        <w:rPr>
          <w:sz w:val="24"/>
          <w:szCs w:val="24"/>
        </w:rPr>
        <w:t xml:space="preserve"> jsou dostupné Emisní faktory </w:t>
      </w:r>
      <w:proofErr w:type="spellStart"/>
      <w:r w:rsidRPr="008E5DC5">
        <w:rPr>
          <w:sz w:val="24"/>
          <w:szCs w:val="24"/>
        </w:rPr>
        <w:t>CO</w:t>
      </w:r>
      <w:r w:rsidRPr="008E5DC5">
        <w:rPr>
          <w:sz w:val="24"/>
          <w:szCs w:val="24"/>
          <w:vertAlign w:val="subscript"/>
        </w:rPr>
        <w:t>2</w:t>
      </w:r>
      <w:proofErr w:type="spellEnd"/>
      <w:r w:rsidRPr="008E5DC5">
        <w:rPr>
          <w:sz w:val="24"/>
          <w:szCs w:val="24"/>
        </w:rPr>
        <w:t xml:space="preserve"> pro energii v palivu: </w:t>
      </w:r>
      <w:hyperlink r:id="rId7" w:history="1">
        <w:r w:rsidRPr="008E5DC5">
          <w:rPr>
            <w:rStyle w:val="Hypertextovodkaz"/>
            <w:sz w:val="24"/>
            <w:szCs w:val="24"/>
          </w:rPr>
          <w:t>https://vytapeni.tzb-info.cz/provoz-a-udrzba-vytapeni/17112-emise-co2-a-jejich-dopad-na-hodnoceni-zdroju-v-budovach</w:t>
        </w:r>
      </w:hyperlink>
      <w:r w:rsidRPr="008E5DC5">
        <w:rPr>
          <w:sz w:val="24"/>
          <w:szCs w:val="24"/>
        </w:rPr>
        <w:t>). Tento požadavek je podle našeho názoru plně v souladu se současnými aktivitami nové evropské Komise v oblasti životního prostředí.</w:t>
      </w: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  <w:r w:rsidRPr="008E5DC5">
        <w:rPr>
          <w:sz w:val="24"/>
          <w:szCs w:val="24"/>
        </w:rPr>
        <w:t xml:space="preserve">3) V příloze č. 3 je stanoven faktor pro účinnou soustavu zásobování tepelnou energií s 80% a nižším podílem obnovitelných zdrojů ve výši 0,9. Dle této interpretace na něj, ale dosáhnou všechny soustavy v 0 – 80 %. Zároveň znovu </w:t>
      </w:r>
      <w:r w:rsidRPr="008E5DC5">
        <w:rPr>
          <w:sz w:val="24"/>
          <w:szCs w:val="24"/>
        </w:rPr>
        <w:lastRenderedPageBreak/>
        <w:t>nedefinuje mix paliv použitých při výrobě energie. (např. můžeme mít zdroj s 95 % podílem hnědého uhlí a 5 % podílem štěpky, který lehce splní, přitom bude mít výrazně větší uhlíkovou stopu v porovnání s plynovým zdrojem energie).</w:t>
      </w: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  <w:r w:rsidRPr="008E5DC5">
        <w:rPr>
          <w:sz w:val="24"/>
          <w:szCs w:val="24"/>
        </w:rPr>
        <w:t>Požadujeme stanovit dolní mez podílu obnovitelných zdrojů při výrobě energie např. ve výši 20 %, aby s výše uvedeným zohledněním účinnosti byl vypočtený faktor stávajících 0,9. Cílem je motivovat soustavy, ke zvyšování účinnosti a snižování ztrát.</w:t>
      </w: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  <w:r w:rsidRPr="008E5DC5">
        <w:rPr>
          <w:sz w:val="24"/>
          <w:szCs w:val="24"/>
        </w:rPr>
        <w:t>4) V příloze č. 3 jsou uvedeny „Ostatní soustavy zásobování tepelnou energií“. Vyhláška nijak nedefinuje, o jaké soustavy se jedná, s jakou energií, s jakou účinností atd.</w:t>
      </w: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  <w:r w:rsidRPr="008E5DC5">
        <w:rPr>
          <w:sz w:val="24"/>
          <w:szCs w:val="24"/>
        </w:rPr>
        <w:t>Požadujeme jasně uvést, o jaké soustavy se jedná a dle toho nastavit faktory, např. soustavy s podílem obnovitelných zdrojů do 19 %.</w:t>
      </w: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  <w:r w:rsidRPr="008E5DC5">
        <w:rPr>
          <w:sz w:val="24"/>
          <w:szCs w:val="24"/>
        </w:rPr>
        <w:t>5) Domníváme, že faktor pro elektřinu 2,6 j</w:t>
      </w:r>
      <w:r w:rsidR="008E5DC5">
        <w:rPr>
          <w:sz w:val="24"/>
          <w:szCs w:val="24"/>
        </w:rPr>
        <w:t>e extrémně vysoký v porovnání s </w:t>
      </w:r>
      <w:r w:rsidRPr="008E5DC5">
        <w:rPr>
          <w:sz w:val="24"/>
          <w:szCs w:val="24"/>
        </w:rPr>
        <w:t xml:space="preserve">ostatními </w:t>
      </w:r>
      <w:proofErr w:type="spellStart"/>
      <w:r w:rsidRPr="008E5DC5">
        <w:rPr>
          <w:sz w:val="24"/>
          <w:szCs w:val="24"/>
        </w:rPr>
        <w:t>energonositeli</w:t>
      </w:r>
      <w:proofErr w:type="spellEnd"/>
      <w:r w:rsidRPr="008E5DC5">
        <w:rPr>
          <w:sz w:val="24"/>
          <w:szCs w:val="24"/>
        </w:rPr>
        <w:t>, zároveň odporuje prosazování elektřiny např. v dopravě.</w:t>
      </w: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</w:rPr>
      </w:pPr>
    </w:p>
    <w:p w:rsidR="0050461D" w:rsidRPr="008E5DC5" w:rsidRDefault="0050461D" w:rsidP="0050461D">
      <w:pPr>
        <w:tabs>
          <w:tab w:val="left" w:pos="567"/>
        </w:tabs>
        <w:spacing w:after="0" w:line="240" w:lineRule="auto"/>
        <w:contextualSpacing/>
        <w:rPr>
          <w:sz w:val="24"/>
          <w:szCs w:val="24"/>
          <w:u w:val="single"/>
        </w:rPr>
      </w:pPr>
      <w:r w:rsidRPr="008E5DC5">
        <w:rPr>
          <w:sz w:val="24"/>
          <w:szCs w:val="24"/>
          <w:u w:val="single"/>
        </w:rPr>
        <w:t>Část výše uvedených připomínek navrhujeme promítnout do níže uvedené tabulky:</w:t>
      </w:r>
    </w:p>
    <w:p w:rsidR="0050461D" w:rsidRPr="008E5DC5" w:rsidRDefault="0050461D" w:rsidP="0050461D">
      <w:pPr>
        <w:tabs>
          <w:tab w:val="left" w:pos="284"/>
        </w:tabs>
        <w:spacing w:after="0" w:line="240" w:lineRule="auto"/>
        <w:ind w:left="284" w:hanging="284"/>
        <w:contextualSpacing/>
        <w:rPr>
          <w:sz w:val="24"/>
          <w:szCs w:val="24"/>
        </w:rPr>
      </w:pPr>
      <w:r w:rsidRPr="008E5DC5">
        <w:rPr>
          <w:sz w:val="24"/>
          <w:szCs w:val="24"/>
        </w:rPr>
        <w:t>1.</w:t>
      </w:r>
      <w:r w:rsidRPr="008E5DC5">
        <w:rPr>
          <w:sz w:val="24"/>
          <w:szCs w:val="24"/>
        </w:rPr>
        <w:tab/>
        <w:t xml:space="preserve">Doplnit v příloze č. 3 vzorce, kterými bude upraven faktor primární energie, dle dosahované účinnosti zdroje a soustavy (viz úprava písmem </w:t>
      </w:r>
      <w:r w:rsidRPr="008E5DC5">
        <w:rPr>
          <w:b/>
          <w:color w:val="FF0000"/>
          <w:sz w:val="24"/>
          <w:szCs w:val="24"/>
        </w:rPr>
        <w:t>tučným a</w:t>
      </w:r>
      <w:r w:rsidR="008E5DC5">
        <w:rPr>
          <w:b/>
          <w:color w:val="FF0000"/>
          <w:sz w:val="24"/>
          <w:szCs w:val="24"/>
        </w:rPr>
        <w:t> </w:t>
      </w:r>
      <w:r w:rsidRPr="008E5DC5">
        <w:rPr>
          <w:b/>
          <w:color w:val="FF0000"/>
          <w:sz w:val="24"/>
          <w:szCs w:val="24"/>
        </w:rPr>
        <w:t>červeným</w:t>
      </w:r>
      <w:r w:rsidRPr="008E5DC5">
        <w:rPr>
          <w:sz w:val="24"/>
          <w:szCs w:val="24"/>
        </w:rPr>
        <w:t>). Příloha č. 3 by měla rovněž stanovovat, jakým způsobem bude účinnost určena.</w:t>
      </w:r>
    </w:p>
    <w:p w:rsidR="0050461D" w:rsidRPr="008E5DC5" w:rsidRDefault="0050461D" w:rsidP="0050461D">
      <w:pPr>
        <w:tabs>
          <w:tab w:val="left" w:pos="284"/>
        </w:tabs>
        <w:spacing w:after="0" w:line="240" w:lineRule="auto"/>
        <w:ind w:left="284" w:hanging="284"/>
        <w:contextualSpacing/>
        <w:rPr>
          <w:sz w:val="24"/>
          <w:szCs w:val="24"/>
        </w:rPr>
      </w:pPr>
      <w:r w:rsidRPr="008E5DC5">
        <w:rPr>
          <w:sz w:val="24"/>
          <w:szCs w:val="24"/>
        </w:rPr>
        <w:t>2.</w:t>
      </w:r>
      <w:r w:rsidRPr="008E5DC5">
        <w:rPr>
          <w:sz w:val="24"/>
          <w:szCs w:val="24"/>
        </w:rPr>
        <w:tab/>
        <w:t xml:space="preserve">Pro jednotlivé </w:t>
      </w:r>
      <w:proofErr w:type="spellStart"/>
      <w:r w:rsidRPr="008E5DC5">
        <w:rPr>
          <w:sz w:val="24"/>
          <w:szCs w:val="24"/>
        </w:rPr>
        <w:t>energonositele</w:t>
      </w:r>
      <w:proofErr w:type="spellEnd"/>
      <w:r w:rsidRPr="008E5DC5">
        <w:rPr>
          <w:sz w:val="24"/>
          <w:szCs w:val="24"/>
        </w:rPr>
        <w:t xml:space="preserve"> provést </w:t>
      </w:r>
      <w:proofErr w:type="spellStart"/>
      <w:r w:rsidRPr="008E5DC5">
        <w:rPr>
          <w:sz w:val="24"/>
          <w:szCs w:val="24"/>
        </w:rPr>
        <w:t>reklasifikaci</w:t>
      </w:r>
      <w:proofErr w:type="spellEnd"/>
      <w:r w:rsidRPr="008E5DC5">
        <w:rPr>
          <w:sz w:val="24"/>
          <w:szCs w:val="24"/>
        </w:rPr>
        <w:t xml:space="preserve"> faktorů primární energie dle jejich reálné uhlíkové stopy (viz návrh úpravy písmem </w:t>
      </w:r>
      <w:r w:rsidRPr="008E5DC5">
        <w:rPr>
          <w:b/>
          <w:color w:val="0000FF"/>
          <w:sz w:val="24"/>
          <w:szCs w:val="24"/>
        </w:rPr>
        <w:t>tučným a modrým</w:t>
      </w:r>
      <w:r w:rsidRPr="008E5DC5">
        <w:rPr>
          <w:sz w:val="24"/>
          <w:szCs w:val="24"/>
        </w:rPr>
        <w:t>).</w:t>
      </w:r>
    </w:p>
    <w:p w:rsidR="0050461D" w:rsidRPr="008E5DC5" w:rsidRDefault="0050461D" w:rsidP="0050461D">
      <w:pPr>
        <w:keepNext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8E5DC5">
        <w:rPr>
          <w:rFonts w:ascii="Times New Roman" w:hAnsi="Times New Roman"/>
          <w:sz w:val="24"/>
          <w:szCs w:val="24"/>
        </w:rPr>
        <w:t>Navrhované změny faktorů primární energie uvedených v tabulce v příloze č. 3: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71"/>
        <w:gridCol w:w="2645"/>
        <w:gridCol w:w="2546"/>
      </w:tblGrid>
      <w:tr w:rsidR="0050461D" w:rsidRPr="00B70683" w:rsidTr="007B582E">
        <w:trPr>
          <w:trHeight w:val="735"/>
        </w:trPr>
        <w:tc>
          <w:tcPr>
            <w:tcW w:w="3871" w:type="dxa"/>
            <w:shd w:val="clear" w:color="000000" w:fill="F0F0F0"/>
            <w:vAlign w:val="center"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shd w:val="clear" w:color="000000" w:fill="F0F0F0"/>
            <w:vAlign w:val="center"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STÁVAJÍCÍ</w:t>
            </w:r>
          </w:p>
        </w:tc>
        <w:tc>
          <w:tcPr>
            <w:tcW w:w="2546" w:type="dxa"/>
            <w:shd w:val="clear" w:color="000000" w:fill="F0F0F0"/>
            <w:vAlign w:val="center"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NÁVRH</w:t>
            </w:r>
          </w:p>
        </w:tc>
      </w:tr>
      <w:tr w:rsidR="0050461D" w:rsidRPr="00B70683" w:rsidTr="007B582E">
        <w:trPr>
          <w:trHeight w:val="735"/>
        </w:trPr>
        <w:tc>
          <w:tcPr>
            <w:tcW w:w="3871" w:type="dxa"/>
            <w:shd w:val="clear" w:color="000000" w:fill="F0F0F0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0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Energonositel</w:t>
            </w:r>
            <w:proofErr w:type="spellEnd"/>
          </w:p>
        </w:tc>
        <w:tc>
          <w:tcPr>
            <w:tcW w:w="2645" w:type="dxa"/>
            <w:shd w:val="clear" w:color="000000" w:fill="F0F0F0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Faktor primární energie </w:t>
            </w:r>
            <w:r w:rsidRPr="00B70683">
              <w:rPr>
                <w:rFonts w:ascii="Times New Roman" w:hAnsi="Times New Roman"/>
                <w:b/>
                <w:sz w:val="24"/>
                <w:szCs w:val="24"/>
              </w:rPr>
              <w:t>z neobnovitelných zdrojů energie</w:t>
            </w:r>
            <w:r w:rsidRPr="00B70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(-)</w:t>
            </w:r>
          </w:p>
        </w:tc>
        <w:tc>
          <w:tcPr>
            <w:tcW w:w="2546" w:type="dxa"/>
            <w:shd w:val="clear" w:color="000000" w:fill="F0F0F0"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Faktor primární energie </w:t>
            </w:r>
            <w:r w:rsidRPr="00B70683">
              <w:rPr>
                <w:rFonts w:ascii="Times New Roman" w:hAnsi="Times New Roman"/>
                <w:b/>
                <w:sz w:val="24"/>
                <w:szCs w:val="24"/>
              </w:rPr>
              <w:t>z neobnovitelných zdrojů energie</w:t>
            </w:r>
            <w:r w:rsidRPr="00B70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(-)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Zemní plyn</w:t>
            </w:r>
          </w:p>
        </w:tc>
        <w:tc>
          <w:tcPr>
            <w:tcW w:w="2645" w:type="dxa"/>
            <w:shd w:val="clear" w:color="000000" w:fill="FFFFFF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1,0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Černé uhlí</w:t>
            </w:r>
          </w:p>
        </w:tc>
        <w:tc>
          <w:tcPr>
            <w:tcW w:w="2645" w:type="dxa"/>
            <w:shd w:val="clear" w:color="000000" w:fill="FFFFFF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1,65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Hnědé uhlí</w:t>
            </w:r>
          </w:p>
        </w:tc>
        <w:tc>
          <w:tcPr>
            <w:tcW w:w="2645" w:type="dxa"/>
            <w:shd w:val="clear" w:color="000000" w:fill="FFFFFF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1,80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Propan-butan/</w:t>
            </w:r>
            <w:proofErr w:type="spellStart"/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LPG</w:t>
            </w:r>
            <w:proofErr w:type="spellEnd"/>
          </w:p>
        </w:tc>
        <w:tc>
          <w:tcPr>
            <w:tcW w:w="2645" w:type="dxa"/>
            <w:shd w:val="clear" w:color="000000" w:fill="FFFFFF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?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Topný olej</w:t>
            </w:r>
          </w:p>
        </w:tc>
        <w:tc>
          <w:tcPr>
            <w:tcW w:w="2645" w:type="dxa"/>
            <w:shd w:val="clear" w:color="000000" w:fill="FFFFFF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?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Elektřina</w:t>
            </w:r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546" w:type="dxa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?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Dřevěné </w:t>
            </w:r>
            <w:proofErr w:type="spellStart"/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peletky</w:t>
            </w:r>
            <w:proofErr w:type="spellEnd"/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546" w:type="dxa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?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Kusové dřevo, dřevní </w:t>
            </w:r>
            <w:proofErr w:type="spellStart"/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štěpka</w:t>
            </w:r>
            <w:proofErr w:type="spellEnd"/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546" w:type="dxa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?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Energie okolního prostředí (elektřina a teplo)</w:t>
            </w:r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6" w:type="dxa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?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Elektřina - dodávka mimo budovu</w:t>
            </w:r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-2,6</w:t>
            </w:r>
          </w:p>
        </w:tc>
        <w:tc>
          <w:tcPr>
            <w:tcW w:w="2546" w:type="dxa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?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Teplo - dodávka mimo budovu</w:t>
            </w:r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-1,3</w:t>
            </w:r>
          </w:p>
        </w:tc>
        <w:tc>
          <w:tcPr>
            <w:tcW w:w="2546" w:type="dxa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?</w:t>
            </w:r>
          </w:p>
        </w:tc>
      </w:tr>
      <w:tr w:rsidR="0050461D" w:rsidRPr="00B70683" w:rsidTr="007B582E">
        <w:trPr>
          <w:trHeight w:val="510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Účinná soustava zásobování tepelnou energií s vyšším než 80% podílem obnovitelných zdrojů</w:t>
            </w:r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546" w:type="dxa"/>
            <w:vAlign w:val="center"/>
          </w:tcPr>
          <w:p w:rsidR="0050461D" w:rsidRPr="00F66B0F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66B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50461D" w:rsidRPr="00B70683" w:rsidTr="007B582E">
        <w:trPr>
          <w:trHeight w:val="510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bookmarkStart w:id="1" w:name="_Hlk27058804"/>
            <w:r w:rsidRPr="00FB51D5">
              <w:rPr>
                <w:rFonts w:ascii="Times New Roman" w:eastAsia="Times New Roman" w:hAnsi="Times New Roman"/>
                <w:bCs/>
                <w:sz w:val="24"/>
                <w:szCs w:val="24"/>
              </w:rPr>
              <w:t>Účinná soustava zásobování tepelnou energií s 80% a nižším podílem obnovitelných zdrojů</w:t>
            </w:r>
            <w:bookmarkEnd w:id="1"/>
            <w:r w:rsidRPr="00FB51D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, minimálně však 20 %.</w:t>
            </w:r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546" w:type="dxa"/>
            <w:vAlign w:val="center"/>
          </w:tcPr>
          <w:p w:rsidR="0050461D" w:rsidRPr="00CD17E0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CD17E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((1-x) * y)) / z</w:t>
            </w:r>
            <w:proofErr w:type="gramEnd"/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2D7D1D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bookmarkStart w:id="2" w:name="_Hlk27059066"/>
            <w:r w:rsidRPr="00FB51D5">
              <w:rPr>
                <w:rFonts w:ascii="Times New Roman" w:eastAsia="Times New Roman" w:hAnsi="Times New Roman"/>
                <w:bCs/>
                <w:sz w:val="24"/>
                <w:szCs w:val="24"/>
              </w:rPr>
              <w:t>Ostatní soustavy zásobování tepelnou energií</w:t>
            </w:r>
            <w:bookmarkEnd w:id="2"/>
            <w:r w:rsidRPr="00FB51D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s podílem obnovitelných zdrojů do 19 %.</w:t>
            </w:r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546" w:type="dxa"/>
            <w:vAlign w:val="center"/>
          </w:tcPr>
          <w:p w:rsidR="0050461D" w:rsidRPr="00CD17E0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CD17E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((1-x) * y)) / z</w:t>
            </w:r>
            <w:proofErr w:type="gramEnd"/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Ostatní neuvedené </w:t>
            </w:r>
            <w:proofErr w:type="spellStart"/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energonositele</w:t>
            </w:r>
            <w:proofErr w:type="spellEnd"/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546" w:type="dxa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?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Odpadní teplo z technologie</w:t>
            </w:r>
          </w:p>
        </w:tc>
        <w:tc>
          <w:tcPr>
            <w:tcW w:w="2645" w:type="dxa"/>
            <w:shd w:val="clear" w:color="auto" w:fill="auto"/>
            <w:noWrap/>
            <w:vAlign w:val="center"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6" w:type="dxa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?</w:t>
            </w:r>
          </w:p>
        </w:tc>
      </w:tr>
    </w:tbl>
    <w:p w:rsidR="0050461D" w:rsidRPr="00FB51D5" w:rsidRDefault="0050461D" w:rsidP="0050461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x</w:t>
      </w:r>
      <w:r w:rsidRPr="00FB51D5">
        <w:rPr>
          <w:rFonts w:ascii="Times New Roman" w:hAnsi="Times New Roman"/>
          <w:b/>
          <w:color w:val="FF0000"/>
          <w:sz w:val="24"/>
          <w:szCs w:val="24"/>
        </w:rPr>
        <w:t xml:space="preserve"> = podíl obnovitelných zdrojů</w:t>
      </w:r>
    </w:p>
    <w:p w:rsidR="0050461D" w:rsidRPr="00FB51D5" w:rsidRDefault="0050461D" w:rsidP="0050461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y</w:t>
      </w:r>
      <w:r w:rsidRPr="00FB51D5">
        <w:rPr>
          <w:rFonts w:ascii="Times New Roman" w:hAnsi="Times New Roman"/>
          <w:b/>
          <w:color w:val="FF0000"/>
          <w:sz w:val="24"/>
          <w:szCs w:val="24"/>
        </w:rPr>
        <w:t xml:space="preserve"> = faktor primárního paliva, např. hnědé uhlí = 1,8</w:t>
      </w:r>
    </w:p>
    <w:p w:rsidR="0050461D" w:rsidRDefault="0050461D" w:rsidP="0050461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z</w:t>
      </w:r>
      <w:r w:rsidRPr="00FB51D5">
        <w:rPr>
          <w:rFonts w:ascii="Times New Roman" w:hAnsi="Times New Roman"/>
          <w:b/>
          <w:color w:val="FF0000"/>
          <w:sz w:val="24"/>
          <w:szCs w:val="24"/>
        </w:rPr>
        <w:t xml:space="preserve"> = účinnost soustavy (výroba a distribuce)</w:t>
      </w:r>
    </w:p>
    <w:p w:rsidR="0050461D" w:rsidRDefault="0050461D" w:rsidP="0050461D">
      <w:pPr>
        <w:tabs>
          <w:tab w:val="left" w:pos="567"/>
        </w:tabs>
        <w:spacing w:after="0" w:line="240" w:lineRule="auto"/>
      </w:pPr>
    </w:p>
    <w:p w:rsidR="0050461D" w:rsidRPr="0007611B" w:rsidRDefault="0050461D" w:rsidP="0050461D">
      <w:pPr>
        <w:tabs>
          <w:tab w:val="left" w:pos="567"/>
        </w:tabs>
        <w:spacing w:after="0" w:line="240" w:lineRule="auto"/>
      </w:pPr>
    </w:p>
    <w:p w:rsidR="0050461D" w:rsidRPr="008E5DC5" w:rsidRDefault="0050461D" w:rsidP="0050461D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8E5DC5">
        <w:rPr>
          <w:sz w:val="24"/>
          <w:szCs w:val="24"/>
        </w:rPr>
        <w:t>Praha 16. 12. 2019</w:t>
      </w:r>
    </w:p>
    <w:p w:rsidR="0050461D" w:rsidRPr="00B51178" w:rsidRDefault="0050461D" w:rsidP="00B51178">
      <w:pPr>
        <w:spacing w:after="0" w:line="240" w:lineRule="auto"/>
        <w:jc w:val="center"/>
        <w:rPr>
          <w:b/>
          <w:sz w:val="28"/>
          <w:szCs w:val="28"/>
        </w:rPr>
      </w:pPr>
    </w:p>
    <w:sectPr w:rsidR="0050461D" w:rsidRPr="00B51178" w:rsidSect="00F404A3">
      <w:headerReference w:type="default" r:id="rId8"/>
      <w:footerReference w:type="default" r:id="rId9"/>
      <w:pgSz w:w="11906" w:h="16838"/>
      <w:pgMar w:top="2381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997" w:rsidRDefault="00CB4997" w:rsidP="00FA11B0">
      <w:pPr>
        <w:spacing w:after="0" w:line="240" w:lineRule="auto"/>
      </w:pPr>
      <w:r>
        <w:separator/>
      </w:r>
    </w:p>
  </w:endnote>
  <w:endnote w:type="continuationSeparator" w:id="0">
    <w:p w:rsidR="00CB4997" w:rsidRDefault="00CB4997" w:rsidP="00FA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4D" w:rsidRPr="009C2AC1" w:rsidRDefault="003013EF" w:rsidP="008E2B4D">
    <w:pPr>
      <w:pStyle w:val="Zpat"/>
      <w:spacing w:line="276" w:lineRule="auto"/>
      <w:jc w:val="center"/>
      <w:rPr>
        <w:color w:val="808080"/>
        <w:szCs w:val="18"/>
      </w:rPr>
    </w:pPr>
    <w:r w:rsidRPr="003013EF">
      <w:rPr>
        <w:noProof/>
        <w:lang w:eastAsia="cs-CZ"/>
      </w:rPr>
      <w:pict>
        <v:line id="Přímá spojnice 3" o:spid="_x0000_s8193" style="position:absolute;left:0;text-align:left;z-index:251659264;visibility:visible" from="-1in,-29.25pt" to="525.7pt,-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" strokecolor="#dbeff7 [660]" strokeweight="3.5pt">
          <v:stroke joinstyle="miter"/>
        </v:line>
      </w:pict>
    </w:r>
    <w:r w:rsidR="008E2B4D" w:rsidRPr="009C2AC1">
      <w:rPr>
        <w:b/>
        <w:color w:val="808080"/>
        <w:szCs w:val="18"/>
      </w:rPr>
      <w:t>Český plynárenský svaz</w:t>
    </w:r>
    <w:r w:rsidR="008E2B4D" w:rsidRPr="009C2AC1">
      <w:rPr>
        <w:color w:val="808080"/>
        <w:szCs w:val="18"/>
      </w:rPr>
      <w:t xml:space="preserve">, U Plynárny 223/42, 140 </w:t>
    </w:r>
    <w:r w:rsidR="008E2B4D">
      <w:rPr>
        <w:color w:val="808080"/>
        <w:szCs w:val="18"/>
      </w:rPr>
      <w:t>00</w:t>
    </w:r>
    <w:r w:rsidR="008E2B4D" w:rsidRPr="009C2AC1">
      <w:rPr>
        <w:color w:val="808080"/>
        <w:szCs w:val="18"/>
      </w:rPr>
      <w:t xml:space="preserve"> Praha 4</w:t>
    </w:r>
    <w:r w:rsidR="008E2B4D" w:rsidRPr="009C2AC1">
      <w:rPr>
        <w:color w:val="808080"/>
        <w:szCs w:val="18"/>
      </w:rPr>
      <w:br/>
      <w:t>ČSOB, a.</w:t>
    </w:r>
    <w:r w:rsidR="008E2B4D">
      <w:rPr>
        <w:color w:val="808080"/>
        <w:szCs w:val="18"/>
      </w:rPr>
      <w:t xml:space="preserve"> </w:t>
    </w:r>
    <w:r w:rsidR="008E2B4D" w:rsidRPr="009C2AC1">
      <w:rPr>
        <w:color w:val="808080"/>
        <w:szCs w:val="18"/>
      </w:rPr>
      <w:t>s. - č.</w:t>
    </w:r>
    <w:r w:rsidR="008E2B4D">
      <w:rPr>
        <w:color w:val="808080"/>
        <w:szCs w:val="18"/>
      </w:rPr>
      <w:t xml:space="preserve"> </w:t>
    </w:r>
    <w:proofErr w:type="spellStart"/>
    <w:r w:rsidR="008E2B4D">
      <w:rPr>
        <w:color w:val="808080"/>
        <w:szCs w:val="18"/>
      </w:rPr>
      <w:t>ú</w:t>
    </w:r>
    <w:proofErr w:type="spellEnd"/>
    <w:r w:rsidR="008E2B4D">
      <w:rPr>
        <w:color w:val="808080"/>
        <w:szCs w:val="18"/>
      </w:rPr>
      <w:t>.: 17478393/0300, IČO</w:t>
    </w:r>
    <w:r w:rsidR="008E2B4D" w:rsidRPr="009C2AC1">
      <w:rPr>
        <w:color w:val="808080"/>
        <w:szCs w:val="18"/>
      </w:rPr>
      <w:t>: 00409928, DIČ: CZ00409928</w:t>
    </w:r>
    <w:r w:rsidR="008E2B4D" w:rsidRPr="009C2AC1">
      <w:rPr>
        <w:color w:val="808080"/>
        <w:szCs w:val="18"/>
      </w:rPr>
      <w:br/>
      <w:t xml:space="preserve">Tel.: +420 222 518 811, e-mail: </w:t>
    </w:r>
    <w:hyperlink r:id="rId1" w:history="1">
      <w:r w:rsidR="008E2B4D" w:rsidRPr="009C2AC1">
        <w:rPr>
          <w:rStyle w:val="Hypertextovodkaz"/>
          <w:color w:val="808080"/>
          <w:szCs w:val="18"/>
        </w:rPr>
        <w:t>cpsvaz@cgoa.cz</w:t>
      </w:r>
    </w:hyperlink>
    <w:r w:rsidR="008E2B4D" w:rsidRPr="009C2AC1">
      <w:rPr>
        <w:color w:val="808080"/>
        <w:szCs w:val="18"/>
      </w:rPr>
      <w:t>, ekonom: +420 241 049 724</w:t>
    </w:r>
  </w:p>
  <w:p w:rsidR="00FA11B0" w:rsidRDefault="008E2B4D" w:rsidP="008E2B4D">
    <w:pPr>
      <w:pStyle w:val="Zpat"/>
      <w:jc w:val="center"/>
    </w:pPr>
    <w:r w:rsidRPr="009C2AC1">
      <w:rPr>
        <w:color w:val="808080"/>
        <w:szCs w:val="18"/>
      </w:rPr>
      <w:t xml:space="preserve">Časopis PLYN: tel.: +420 241 049 722, e-mail: </w:t>
    </w:r>
    <w:hyperlink r:id="rId2" w:history="1">
      <w:r w:rsidRPr="009C2AC1">
        <w:rPr>
          <w:rStyle w:val="Hypertextovodkaz"/>
          <w:color w:val="808080"/>
          <w:szCs w:val="18"/>
        </w:rPr>
        <w:t>plyn@cgoa.cz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997" w:rsidRDefault="00CB4997" w:rsidP="00FA11B0">
      <w:pPr>
        <w:spacing w:after="0" w:line="240" w:lineRule="auto"/>
      </w:pPr>
      <w:r>
        <w:separator/>
      </w:r>
    </w:p>
  </w:footnote>
  <w:footnote w:type="continuationSeparator" w:id="0">
    <w:p w:rsidR="00CB4997" w:rsidRDefault="00CB4997" w:rsidP="00FA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1B0" w:rsidRDefault="00FA11B0" w:rsidP="00FA11B0">
    <w:pPr>
      <w:pStyle w:val="Zhlav"/>
      <w:jc w:val="center"/>
    </w:pPr>
    <w:r w:rsidRPr="00783F80">
      <w:rPr>
        <w:noProof/>
        <w:lang w:eastAsia="cs-CZ"/>
      </w:rPr>
      <w:drawing>
        <wp:inline distT="0" distB="0" distL="0" distR="0">
          <wp:extent cx="3086100" cy="800100"/>
          <wp:effectExtent l="0" t="0" r="0" b="0"/>
          <wp:docPr id="22" name="obrázek 1" descr="CPS_logo s tex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PS_logo s tex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1820"/>
    <w:multiLevelType w:val="hybridMultilevel"/>
    <w:tmpl w:val="83EC7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76731"/>
    <w:multiLevelType w:val="hybridMultilevel"/>
    <w:tmpl w:val="30A0F63E"/>
    <w:lvl w:ilvl="0" w:tplc="4AF88C6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efaultTableStyle w:val="ListTable6ColorfulAccent4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C30DB0"/>
    <w:rsid w:val="00012441"/>
    <w:rsid w:val="00017847"/>
    <w:rsid w:val="00183F16"/>
    <w:rsid w:val="0019481D"/>
    <w:rsid w:val="00197834"/>
    <w:rsid w:val="002133CD"/>
    <w:rsid w:val="00236003"/>
    <w:rsid w:val="002747CB"/>
    <w:rsid w:val="002A6B24"/>
    <w:rsid w:val="002E19F1"/>
    <w:rsid w:val="003013EF"/>
    <w:rsid w:val="004B6126"/>
    <w:rsid w:val="0050461D"/>
    <w:rsid w:val="005E4443"/>
    <w:rsid w:val="00615654"/>
    <w:rsid w:val="006274A8"/>
    <w:rsid w:val="006517B9"/>
    <w:rsid w:val="00686A91"/>
    <w:rsid w:val="006D7A0B"/>
    <w:rsid w:val="006F0432"/>
    <w:rsid w:val="006F6EF7"/>
    <w:rsid w:val="0072058A"/>
    <w:rsid w:val="007E1184"/>
    <w:rsid w:val="007E1BCE"/>
    <w:rsid w:val="007F715B"/>
    <w:rsid w:val="008C4FC4"/>
    <w:rsid w:val="008E2B4D"/>
    <w:rsid w:val="008E5DC5"/>
    <w:rsid w:val="00A71048"/>
    <w:rsid w:val="00AC44C2"/>
    <w:rsid w:val="00AD356E"/>
    <w:rsid w:val="00B51178"/>
    <w:rsid w:val="00B5196E"/>
    <w:rsid w:val="00BC153C"/>
    <w:rsid w:val="00C077E9"/>
    <w:rsid w:val="00C30DB0"/>
    <w:rsid w:val="00C43DF6"/>
    <w:rsid w:val="00C841A8"/>
    <w:rsid w:val="00CB4997"/>
    <w:rsid w:val="00CB58BD"/>
    <w:rsid w:val="00CB7B58"/>
    <w:rsid w:val="00DD6EA6"/>
    <w:rsid w:val="00DE2B37"/>
    <w:rsid w:val="00E947C3"/>
    <w:rsid w:val="00F15A3B"/>
    <w:rsid w:val="00F3577E"/>
    <w:rsid w:val="00F404A3"/>
    <w:rsid w:val="00F62266"/>
    <w:rsid w:val="00F745EB"/>
    <w:rsid w:val="00FA11B0"/>
    <w:rsid w:val="00FA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834"/>
    <w:pPr>
      <w:spacing w:after="60"/>
      <w:jc w:val="both"/>
    </w:pPr>
    <w:rPr>
      <w:color w:val="3E4D5C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7F715B"/>
    <w:pPr>
      <w:keepNext/>
      <w:keepLines/>
      <w:spacing w:before="480" w:after="300" w:line="240" w:lineRule="auto"/>
      <w:outlineLvl w:val="0"/>
    </w:pPr>
    <w:rPr>
      <w:rFonts w:asciiTheme="majorHAnsi" w:eastAsiaTheme="majorEastAsia" w:hAnsiTheme="majorHAnsi" w:cstheme="majorBidi"/>
      <w:color w:val="0F3D8A" w:themeColor="accent2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6EF7"/>
    <w:pPr>
      <w:keepNext/>
      <w:keepLines/>
      <w:spacing w:before="360" w:after="180" w:line="240" w:lineRule="auto"/>
      <w:outlineLvl w:val="1"/>
    </w:pPr>
    <w:rPr>
      <w:rFonts w:asciiTheme="majorHAnsi" w:eastAsiaTheme="majorEastAsia" w:hAnsiTheme="majorHAnsi" w:cstheme="majorBidi"/>
      <w:b/>
      <w:color w:val="0F3D8A" w:themeColor="accent2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7847"/>
    <w:pPr>
      <w:keepNext/>
      <w:keepLines/>
      <w:outlineLvl w:val="2"/>
    </w:pPr>
    <w:rPr>
      <w:rFonts w:asciiTheme="majorHAnsi" w:eastAsiaTheme="majorEastAsia" w:hAnsiTheme="majorHAnsi" w:cstheme="majorBidi"/>
      <w:color w:val="4F81BD" w:themeColor="accent6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715B"/>
    <w:rPr>
      <w:rFonts w:asciiTheme="majorHAnsi" w:eastAsiaTheme="majorEastAsia" w:hAnsiTheme="majorHAnsi" w:cstheme="majorBidi"/>
      <w:color w:val="0F3D8A" w:themeColor="accent2"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F6EF7"/>
    <w:rPr>
      <w:rFonts w:asciiTheme="majorHAnsi" w:eastAsiaTheme="majorEastAsia" w:hAnsiTheme="majorHAnsi" w:cstheme="majorBidi"/>
      <w:b/>
      <w:color w:val="0F3D8A" w:themeColor="accent2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17847"/>
    <w:rPr>
      <w:rFonts w:asciiTheme="majorHAnsi" w:eastAsiaTheme="majorEastAsia" w:hAnsiTheme="majorHAnsi" w:cstheme="majorBidi"/>
      <w:color w:val="4F81BD" w:themeColor="accent6"/>
      <w:sz w:val="28"/>
      <w:szCs w:val="24"/>
    </w:rPr>
  </w:style>
  <w:style w:type="paragraph" w:customStyle="1" w:styleId="Zdroj">
    <w:name w:val="Zdroj"/>
    <w:basedOn w:val="Normln"/>
    <w:link w:val="ZdrojChar"/>
    <w:qFormat/>
    <w:rsid w:val="00F745EB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236003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0F3D8A" w:themeColor="accent2"/>
      <w:spacing w:val="-10"/>
      <w:kern w:val="28"/>
      <w:sz w:val="72"/>
      <w:szCs w:val="56"/>
    </w:rPr>
  </w:style>
  <w:style w:type="character" w:customStyle="1" w:styleId="ZdrojChar">
    <w:name w:val="Zdroj Char"/>
    <w:basedOn w:val="Standardnpsmoodstavce"/>
    <w:link w:val="Zdroj"/>
    <w:rsid w:val="00F745EB"/>
    <w:rPr>
      <w:i/>
      <w:iCs/>
      <w:color w:val="3E4D5C" w:themeColor="text1"/>
    </w:rPr>
  </w:style>
  <w:style w:type="character" w:customStyle="1" w:styleId="NzevChar">
    <w:name w:val="Název Char"/>
    <w:basedOn w:val="Standardnpsmoodstavce"/>
    <w:link w:val="Nzev"/>
    <w:uiPriority w:val="10"/>
    <w:rsid w:val="00236003"/>
    <w:rPr>
      <w:rFonts w:asciiTheme="majorHAnsi" w:eastAsiaTheme="majorEastAsia" w:hAnsiTheme="majorHAnsi" w:cstheme="majorBidi"/>
      <w:color w:val="0F3D8A" w:themeColor="accent2"/>
      <w:spacing w:val="-10"/>
      <w:kern w:val="28"/>
      <w:sz w:val="72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36003"/>
    <w:pPr>
      <w:numPr>
        <w:ilvl w:val="1"/>
      </w:numPr>
    </w:pPr>
    <w:rPr>
      <w:rFonts w:eastAsiaTheme="minorEastAsia"/>
      <w:color w:val="4F81BD" w:themeColor="accent6"/>
      <w:spacing w:val="15"/>
      <w:sz w:val="44"/>
    </w:rPr>
  </w:style>
  <w:style w:type="character" w:customStyle="1" w:styleId="PodtitulChar">
    <w:name w:val="Podtitul Char"/>
    <w:basedOn w:val="Standardnpsmoodstavce"/>
    <w:link w:val="Podtitul"/>
    <w:uiPriority w:val="11"/>
    <w:rsid w:val="00236003"/>
    <w:rPr>
      <w:rFonts w:eastAsiaTheme="minorEastAsia"/>
      <w:color w:val="4F81BD" w:themeColor="accent6"/>
      <w:spacing w:val="15"/>
      <w:sz w:val="44"/>
    </w:rPr>
  </w:style>
  <w:style w:type="paragraph" w:styleId="Zhlav">
    <w:name w:val="header"/>
    <w:basedOn w:val="Normln"/>
    <w:link w:val="ZhlavChar"/>
    <w:uiPriority w:val="99"/>
    <w:unhideWhenUsed/>
    <w:rsid w:val="00FA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1B0"/>
    <w:rPr>
      <w:color w:val="3E4D5C" w:themeColor="text1"/>
    </w:rPr>
  </w:style>
  <w:style w:type="paragraph" w:styleId="Zpat">
    <w:name w:val="footer"/>
    <w:basedOn w:val="Normln"/>
    <w:link w:val="ZpatChar"/>
    <w:unhideWhenUsed/>
    <w:rsid w:val="008E2B4D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ZpatChar">
    <w:name w:val="Zápatí Char"/>
    <w:basedOn w:val="Standardnpsmoodstavce"/>
    <w:link w:val="Zpat"/>
    <w:rsid w:val="008E2B4D"/>
    <w:rPr>
      <w:color w:val="3E4D5C" w:themeColor="text1"/>
      <w:sz w:val="18"/>
    </w:rPr>
  </w:style>
  <w:style w:type="character" w:styleId="Hypertextovodkaz">
    <w:name w:val="Hyperlink"/>
    <w:rsid w:val="006D7A0B"/>
    <w:rPr>
      <w:color w:val="0F3D8A" w:themeColor="accent2"/>
      <w:u w:val="single"/>
    </w:rPr>
  </w:style>
  <w:style w:type="paragraph" w:styleId="Citaceintenzivn">
    <w:name w:val="Intense Quote"/>
    <w:aliases w:val="Odkaz"/>
    <w:basedOn w:val="Normln"/>
    <w:next w:val="Normln"/>
    <w:link w:val="CitaceintenzivnChar"/>
    <w:autoRedefine/>
    <w:uiPriority w:val="1"/>
    <w:qFormat/>
    <w:rsid w:val="008E2B4D"/>
    <w:pPr>
      <w:pBdr>
        <w:bottom w:val="single" w:sz="4" w:space="4" w:color="4F81BD"/>
      </w:pBdr>
      <w:spacing w:before="200" w:after="280" w:line="240" w:lineRule="auto"/>
      <w:ind w:left="936" w:right="936"/>
      <w:jc w:val="left"/>
    </w:pPr>
    <w:rPr>
      <w:rFonts w:ascii="Arial" w:eastAsia="Times New Roman" w:hAnsi="Arial" w:cs="Arial"/>
      <w:iCs/>
      <w:color w:val="1F497D"/>
      <w:u w:val="single"/>
      <w:lang w:eastAsia="cs-CZ"/>
    </w:rPr>
  </w:style>
  <w:style w:type="character" w:customStyle="1" w:styleId="CitaceintenzivnChar">
    <w:name w:val="Citace – intenzivní Char"/>
    <w:aliases w:val="Odkaz Char"/>
    <w:basedOn w:val="Standardnpsmoodstavce"/>
    <w:link w:val="Citaceintenzivn"/>
    <w:uiPriority w:val="1"/>
    <w:rsid w:val="008E2B4D"/>
    <w:rPr>
      <w:rFonts w:ascii="Arial" w:eastAsia="Times New Roman" w:hAnsi="Arial" w:cs="Arial"/>
      <w:iCs/>
      <w:color w:val="1F497D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3577E"/>
    <w:pPr>
      <w:ind w:left="720"/>
      <w:contextualSpacing/>
    </w:pPr>
  </w:style>
  <w:style w:type="table" w:styleId="Mkatabulky">
    <w:name w:val="Table Grid"/>
    <w:basedOn w:val="Normlntabulka"/>
    <w:uiPriority w:val="39"/>
    <w:rsid w:val="007F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4">
    <w:name w:val="List Table 6 Colorful Accent 4"/>
    <w:basedOn w:val="Normlntabulka"/>
    <w:uiPriority w:val="51"/>
    <w:rsid w:val="002E19F1"/>
    <w:pPr>
      <w:spacing w:before="40" w:after="0" w:line="240" w:lineRule="auto"/>
      <w:jc w:val="center"/>
    </w:pPr>
    <w:rPr>
      <w:color w:val="5C6A78" w:themeColor="accent4" w:themeShade="BF"/>
    </w:rPr>
    <w:tblPr>
      <w:tblStyleRowBandSize w:val="1"/>
      <w:tblStyleColBandSize w:val="1"/>
      <w:tblInd w:w="0" w:type="dxa"/>
      <w:tblBorders>
        <w:top w:val="single" w:sz="4" w:space="0" w:color="5C6A78" w:themeColor="accent4" w:themeShade="BF"/>
        <w:bottom w:val="single" w:sz="4" w:space="0" w:color="5C6A78" w:themeColor="accent4" w:themeShade="BF"/>
        <w:insideH w:val="single" w:sz="4" w:space="0" w:color="5C6A78" w:themeColor="accent4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bCs/>
      </w:rPr>
      <w:tblPr/>
      <w:tcPr>
        <w:tcBorders>
          <w:top w:val="single" w:sz="4" w:space="0" w:color="3D4750" w:themeColor="accent4" w:themeShade="80"/>
          <w:bottom w:val="single" w:sz="4" w:space="0" w:color="3D4750" w:themeColor="accent4" w:themeShade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3D4750" w:themeColor="accent4" w:themeShade="80"/>
          <w:bottom w:val="single" w:sz="4" w:space="0" w:color="3D4750" w:themeColor="accent4" w:themeShade="80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BE2" w:themeFill="text1" w:themeFillTint="33"/>
      </w:tcPr>
    </w:tblStylePr>
    <w:tblStylePr w:type="band1Horz">
      <w:tblPr/>
      <w:tcPr>
        <w:shd w:val="clear" w:color="auto" w:fill="F1F1F2" w:themeFill="text2" w:themeFillTint="33"/>
      </w:tcPr>
    </w:tblStylePr>
  </w:style>
  <w:style w:type="character" w:styleId="Siln">
    <w:name w:val="Strong"/>
    <w:basedOn w:val="Standardnpsmoodstavce"/>
    <w:uiPriority w:val="22"/>
    <w:qFormat/>
    <w:rsid w:val="00FA5491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D7A0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178"/>
    <w:rPr>
      <w:rFonts w:ascii="Tahoma" w:hAnsi="Tahoma" w:cs="Tahoma"/>
      <w:color w:val="3E4D5C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ytapeni.tzb-info.cz/provoz-a-udrzba-vytapeni/17112-emise-co2-a-jejich-dopad-na-hodnoceni-zdroju-v-budova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yn@cgoa.cz" TargetMode="External"/><Relationship Id="rId1" Type="http://schemas.openxmlformats.org/officeDocument/2006/relationships/hyperlink" Target="mailto:cpsvaz@cgo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Plyn svaz">
      <a:dk1>
        <a:srgbClr val="3E4D5C"/>
      </a:dk1>
      <a:lt1>
        <a:sysClr val="window" lastClr="FFFFFF"/>
      </a:lt1>
      <a:dk2>
        <a:srgbClr val="BCBDC0"/>
      </a:dk2>
      <a:lt2>
        <a:srgbClr val="EFEFEF"/>
      </a:lt2>
      <a:accent1>
        <a:srgbClr val="4FB3D9"/>
      </a:accent1>
      <a:accent2>
        <a:srgbClr val="0F3D8A"/>
      </a:accent2>
      <a:accent3>
        <a:srgbClr val="DAEDF2"/>
      </a:accent3>
      <a:accent4>
        <a:srgbClr val="7F8E9D"/>
      </a:accent4>
      <a:accent5>
        <a:srgbClr val="4BACC6"/>
      </a:accent5>
      <a:accent6>
        <a:srgbClr val="4F81BD"/>
      </a:accent6>
      <a:hlink>
        <a:srgbClr val="64AED9"/>
      </a:hlink>
      <a:folHlink>
        <a:srgbClr val="BCBDC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Pilch</dc:creator>
  <cp:lastModifiedBy>TP</cp:lastModifiedBy>
  <cp:revision>3</cp:revision>
  <dcterms:created xsi:type="dcterms:W3CDTF">2020-02-12T14:26:00Z</dcterms:created>
  <dcterms:modified xsi:type="dcterms:W3CDTF">2020-02-12T14:32:00Z</dcterms:modified>
</cp:coreProperties>
</file>