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3A" w:rsidRDefault="008E453A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8E453A" w:rsidRDefault="008E453A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914EA3" w:rsidRDefault="00914EA3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Připomínky</w:t>
      </w:r>
      <w:r w:rsidR="00DD750B" w:rsidRPr="000B5363">
        <w:rPr>
          <w:rFonts w:ascii="Arial" w:hAnsi="Arial" w:cs="Arial"/>
          <w:b/>
          <w:sz w:val="28"/>
          <w:szCs w:val="28"/>
        </w:rPr>
        <w:t xml:space="preserve"> </w:t>
      </w:r>
      <w:r w:rsidR="00590B02" w:rsidRPr="000B5363">
        <w:rPr>
          <w:rFonts w:ascii="Arial" w:hAnsi="Arial" w:cs="Arial"/>
          <w:b/>
          <w:sz w:val="28"/>
          <w:szCs w:val="28"/>
        </w:rPr>
        <w:t>Č</w:t>
      </w:r>
      <w:r w:rsidR="00590B02">
        <w:rPr>
          <w:rFonts w:ascii="Arial" w:hAnsi="Arial" w:cs="Arial"/>
          <w:b/>
          <w:sz w:val="28"/>
          <w:szCs w:val="28"/>
        </w:rPr>
        <w:t>eského plynárenského svazu</w:t>
      </w:r>
    </w:p>
    <w:p w:rsidR="00914EA3" w:rsidRDefault="00590B02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90B02">
        <w:rPr>
          <w:rFonts w:ascii="Arial" w:hAnsi="Arial" w:cs="Arial"/>
          <w:b/>
          <w:sz w:val="28"/>
          <w:szCs w:val="28"/>
        </w:rPr>
        <w:t>k</w:t>
      </w:r>
      <w:r w:rsidR="006B256B">
        <w:rPr>
          <w:rFonts w:ascii="Arial" w:hAnsi="Arial" w:cs="Arial"/>
          <w:b/>
          <w:sz w:val="28"/>
          <w:szCs w:val="28"/>
        </w:rPr>
        <w:t> </w:t>
      </w:r>
      <w:r w:rsidR="00914EA3" w:rsidRPr="00914EA3">
        <w:rPr>
          <w:rFonts w:ascii="Arial" w:hAnsi="Arial" w:cs="Arial"/>
          <w:b/>
          <w:sz w:val="28"/>
          <w:szCs w:val="28"/>
        </w:rPr>
        <w:t>návrhu vyhlášky, kterou se mění vyhláška č. 540/2005 Sb., o kvalitě dodávek elektřiny a</w:t>
      </w:r>
      <w:r w:rsidR="00914EA3">
        <w:rPr>
          <w:rFonts w:ascii="Arial" w:hAnsi="Arial" w:cs="Arial"/>
          <w:b/>
          <w:sz w:val="28"/>
          <w:szCs w:val="28"/>
        </w:rPr>
        <w:t> </w:t>
      </w:r>
      <w:r w:rsidR="00914EA3" w:rsidRPr="00914EA3">
        <w:rPr>
          <w:rFonts w:ascii="Arial" w:hAnsi="Arial" w:cs="Arial"/>
          <w:b/>
          <w:sz w:val="28"/>
          <w:szCs w:val="28"/>
        </w:rPr>
        <w:t xml:space="preserve">souvisejících služeb v </w:t>
      </w:r>
      <w:proofErr w:type="spellStart"/>
      <w:r w:rsidR="00914EA3" w:rsidRPr="00914EA3">
        <w:rPr>
          <w:rFonts w:ascii="Arial" w:hAnsi="Arial" w:cs="Arial"/>
          <w:b/>
          <w:sz w:val="28"/>
          <w:szCs w:val="28"/>
        </w:rPr>
        <w:t>elektroenergetice</w:t>
      </w:r>
      <w:proofErr w:type="spellEnd"/>
    </w:p>
    <w:p w:rsidR="00914EA3" w:rsidRDefault="00914EA3" w:rsidP="00914EA3">
      <w:pPr>
        <w:spacing w:before="120" w:after="0" w:line="288" w:lineRule="auto"/>
        <w:jc w:val="center"/>
        <w:rPr>
          <w:rFonts w:ascii="Arial" w:hAnsi="Arial" w:cs="Arial"/>
          <w:sz w:val="28"/>
          <w:szCs w:val="28"/>
        </w:rPr>
      </w:pPr>
      <w:r w:rsidRPr="00914EA3">
        <w:rPr>
          <w:rFonts w:ascii="Arial" w:hAnsi="Arial" w:cs="Arial"/>
          <w:sz w:val="28"/>
          <w:szCs w:val="28"/>
        </w:rPr>
        <w:t>veřejný konzultační proces Energetického regulačního úřadu</w:t>
      </w:r>
    </w:p>
    <w:p w:rsidR="006B256B" w:rsidRPr="00914EA3" w:rsidRDefault="006B256B" w:rsidP="005E7560">
      <w:pPr>
        <w:pStyle w:val="Default"/>
        <w:jc w:val="both"/>
        <w:rPr>
          <w:rFonts w:ascii="Arial" w:hAnsi="Arial" w:cs="Arial"/>
        </w:rPr>
      </w:pPr>
    </w:p>
    <w:p w:rsidR="00914EA3" w:rsidRPr="00914EA3" w:rsidRDefault="00914EA3" w:rsidP="005E7560">
      <w:pPr>
        <w:pStyle w:val="Default"/>
        <w:jc w:val="both"/>
        <w:rPr>
          <w:rFonts w:ascii="Arial" w:hAnsi="Arial" w:cs="Arial"/>
        </w:rPr>
      </w:pPr>
    </w:p>
    <w:p w:rsidR="00914EA3" w:rsidRPr="00914EA3" w:rsidRDefault="00914EA3" w:rsidP="006B77C4">
      <w:pPr>
        <w:pStyle w:val="Default"/>
        <w:jc w:val="both"/>
        <w:rPr>
          <w:rFonts w:ascii="Arial" w:hAnsi="Arial" w:cs="Arial"/>
        </w:rPr>
      </w:pPr>
      <w:r w:rsidRPr="00914EA3">
        <w:rPr>
          <w:rFonts w:ascii="Arial" w:hAnsi="Arial" w:cs="Arial"/>
        </w:rPr>
        <w:t>Dne 24. září 2019 Energetický regulační úřad (dále jen „ERÚ</w:t>
      </w:r>
      <w:r>
        <w:rPr>
          <w:rFonts w:ascii="Arial" w:hAnsi="Arial" w:cs="Arial"/>
        </w:rPr>
        <w:t>“</w:t>
      </w:r>
      <w:r w:rsidRPr="00914EA3">
        <w:rPr>
          <w:rFonts w:ascii="Arial" w:hAnsi="Arial" w:cs="Arial"/>
        </w:rPr>
        <w:t>) zveřejnil návrh vyhlášky, kterou se mění vyhláška č. 540/2005 Sb., o kvalitě dodávek elektřiny a souvisejících služeb v</w:t>
      </w:r>
      <w:r w:rsidR="005E7560">
        <w:rPr>
          <w:rFonts w:ascii="Arial" w:hAnsi="Arial" w:cs="Arial"/>
        </w:rPr>
        <w:t> </w:t>
      </w:r>
      <w:proofErr w:type="spellStart"/>
      <w:r w:rsidRPr="00914EA3">
        <w:rPr>
          <w:rFonts w:ascii="Arial" w:hAnsi="Arial" w:cs="Arial"/>
        </w:rPr>
        <w:t>elektroenergetice</w:t>
      </w:r>
      <w:proofErr w:type="spellEnd"/>
      <w:r w:rsidR="005E7560">
        <w:rPr>
          <w:rFonts w:ascii="Arial" w:hAnsi="Arial" w:cs="Arial"/>
        </w:rPr>
        <w:t xml:space="preserve"> (dále jen „vyhláška“)</w:t>
      </w:r>
      <w:r w:rsidRPr="00914E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 souladu s pravidly </w:t>
      </w:r>
      <w:r w:rsidRPr="00914EA3">
        <w:rPr>
          <w:rFonts w:ascii="Arial" w:hAnsi="Arial" w:cs="Arial"/>
        </w:rPr>
        <w:t>konzultačního procesu</w:t>
      </w:r>
      <w:r>
        <w:rPr>
          <w:rFonts w:ascii="Arial" w:hAnsi="Arial" w:cs="Arial"/>
        </w:rPr>
        <w:t xml:space="preserve"> uplatňuje Český plynárenský svaz </w:t>
      </w:r>
      <w:r w:rsidR="005E7560">
        <w:rPr>
          <w:rFonts w:ascii="Arial" w:hAnsi="Arial" w:cs="Arial"/>
        </w:rPr>
        <w:t>(dále jen „ČPS“) následující</w:t>
      </w:r>
      <w:r w:rsidRPr="00914EA3">
        <w:rPr>
          <w:rFonts w:ascii="Arial" w:hAnsi="Arial" w:cs="Arial"/>
        </w:rPr>
        <w:t xml:space="preserve"> připomínky:</w:t>
      </w:r>
    </w:p>
    <w:p w:rsidR="00914EA3" w:rsidRPr="005E7560" w:rsidRDefault="00914EA3" w:rsidP="006B77C4">
      <w:pPr>
        <w:pStyle w:val="Default"/>
        <w:jc w:val="both"/>
        <w:rPr>
          <w:rFonts w:ascii="Arial" w:hAnsi="Arial" w:cs="Arial"/>
        </w:rPr>
      </w:pPr>
    </w:p>
    <w:p w:rsidR="005E7560" w:rsidRPr="005E7560" w:rsidRDefault="005E7560" w:rsidP="006B77C4">
      <w:pPr>
        <w:pStyle w:val="Default"/>
        <w:keepNext/>
        <w:spacing w:after="120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Obecné připomínky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Nejedná se o konzultační proces ke změně vyhlášky a není uvedeno odůvodnění změn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>ERÚ na svých stránkách zveřejnil konzultační proces k návrhu vyhlášky</w:t>
      </w:r>
      <w:r>
        <w:rPr>
          <w:rFonts w:ascii="Arial" w:hAnsi="Arial" w:cs="Arial"/>
          <w:color w:val="auto"/>
        </w:rPr>
        <w:t>,</w:t>
      </w:r>
      <w:r w:rsidRPr="005E7560">
        <w:rPr>
          <w:rFonts w:ascii="Arial" w:hAnsi="Arial" w:cs="Arial"/>
          <w:color w:val="auto"/>
        </w:rPr>
        <w:t xml:space="preserve"> kterou se mění vyhláška č. 540/2005 Sb., o kvalitě dodávek elektřiny a souvisejících služeb v </w:t>
      </w:r>
      <w:proofErr w:type="spellStart"/>
      <w:r w:rsidRPr="005E7560">
        <w:rPr>
          <w:rFonts w:ascii="Arial" w:hAnsi="Arial" w:cs="Arial"/>
          <w:color w:val="auto"/>
        </w:rPr>
        <w:t>elektroenergetice</w:t>
      </w:r>
      <w:proofErr w:type="spellEnd"/>
      <w:r w:rsidRPr="005E7560">
        <w:rPr>
          <w:rFonts w:ascii="Arial" w:hAnsi="Arial" w:cs="Arial"/>
          <w:color w:val="auto"/>
        </w:rPr>
        <w:t>, v rámci konzultačního dokumentu je však přiložen pouze prostý text zcela nové vyhlášky o kvalitě dodávek elektřiny a souvisejících služeb v </w:t>
      </w:r>
      <w:proofErr w:type="spellStart"/>
      <w:r w:rsidRPr="005E7560">
        <w:rPr>
          <w:rFonts w:ascii="Arial" w:hAnsi="Arial" w:cs="Arial"/>
          <w:color w:val="auto"/>
        </w:rPr>
        <w:t>elektroenergetice</w:t>
      </w:r>
      <w:proofErr w:type="spellEnd"/>
      <w:r w:rsidRPr="005E7560">
        <w:rPr>
          <w:rFonts w:ascii="Arial" w:hAnsi="Arial" w:cs="Arial"/>
          <w:color w:val="auto"/>
        </w:rPr>
        <w:t>. K „nové“ vyhlášce rovněž není připojeno žádné odůvodnění objasňující důvod předložení nové vyhlášky s podstatným rozšířením povinností již od 1. ledna následujícího roku.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 xml:space="preserve">Připomínka a požadavek </w:t>
      </w:r>
      <w:r>
        <w:rPr>
          <w:rFonts w:ascii="Arial" w:hAnsi="Arial" w:cs="Arial"/>
          <w:b/>
          <w:color w:val="auto"/>
        </w:rPr>
        <w:t>ČPS</w:t>
      </w:r>
      <w:r w:rsidRPr="005E7560">
        <w:rPr>
          <w:rFonts w:ascii="Arial" w:hAnsi="Arial" w:cs="Arial"/>
          <w:b/>
          <w:color w:val="auto"/>
        </w:rPr>
        <w:t>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>Žádáme v rámci konzultace vyjasnit budoucí záměry ERÚ ohledně vyhlášky</w:t>
      </w:r>
      <w:r>
        <w:rPr>
          <w:rFonts w:ascii="Arial" w:hAnsi="Arial" w:cs="Arial"/>
          <w:color w:val="auto"/>
        </w:rPr>
        <w:t>. P</w:t>
      </w:r>
      <w:r w:rsidRPr="005E7560">
        <w:rPr>
          <w:rFonts w:ascii="Arial" w:hAnsi="Arial" w:cs="Arial"/>
          <w:color w:val="auto"/>
        </w:rPr>
        <w:t xml:space="preserve">okud by se mělo o zcela nový text vyhlášky, a nikoliv o dílčí malé změny stávajícího právního předpisu, požadujeme do konzultace zahrnout celkovou legislativní dokumentaci, především </w:t>
      </w:r>
      <w:r>
        <w:rPr>
          <w:rFonts w:ascii="Arial" w:hAnsi="Arial" w:cs="Arial"/>
          <w:color w:val="auto"/>
        </w:rPr>
        <w:t>d</w:t>
      </w:r>
      <w:r w:rsidRPr="005E7560">
        <w:rPr>
          <w:rFonts w:ascii="Arial" w:hAnsi="Arial" w:cs="Arial"/>
          <w:color w:val="auto"/>
        </w:rPr>
        <w:t>ůvodov</w:t>
      </w:r>
      <w:r>
        <w:rPr>
          <w:rFonts w:ascii="Arial" w:hAnsi="Arial" w:cs="Arial"/>
          <w:color w:val="auto"/>
        </w:rPr>
        <w:t xml:space="preserve">ou zprávu </w:t>
      </w:r>
      <w:r w:rsidRPr="005E7560">
        <w:rPr>
          <w:rFonts w:ascii="Arial" w:hAnsi="Arial" w:cs="Arial"/>
          <w:color w:val="auto"/>
        </w:rPr>
        <w:t xml:space="preserve">a </w:t>
      </w:r>
      <w:r>
        <w:rPr>
          <w:rFonts w:ascii="Arial" w:hAnsi="Arial" w:cs="Arial"/>
          <w:color w:val="auto"/>
        </w:rPr>
        <w:t>hodnocení dopadů regulace (</w:t>
      </w:r>
      <w:r w:rsidRPr="005E7560">
        <w:rPr>
          <w:rFonts w:ascii="Arial" w:hAnsi="Arial" w:cs="Arial"/>
          <w:color w:val="auto"/>
        </w:rPr>
        <w:t>RIA</w:t>
      </w:r>
      <w:r>
        <w:rPr>
          <w:rFonts w:ascii="Arial" w:hAnsi="Arial" w:cs="Arial"/>
          <w:color w:val="auto"/>
        </w:rPr>
        <w:t>)</w:t>
      </w:r>
      <w:r w:rsidRPr="005E7560">
        <w:rPr>
          <w:rFonts w:ascii="Arial" w:hAnsi="Arial" w:cs="Arial"/>
          <w:color w:val="auto"/>
        </w:rPr>
        <w:t xml:space="preserve"> nově připraveného předpisu</w:t>
      </w:r>
      <w:r>
        <w:rPr>
          <w:rFonts w:ascii="Arial" w:hAnsi="Arial" w:cs="Arial"/>
          <w:color w:val="auto"/>
        </w:rPr>
        <w:t>: B</w:t>
      </w:r>
      <w:r w:rsidRPr="005E7560">
        <w:rPr>
          <w:rFonts w:ascii="Arial" w:hAnsi="Arial" w:cs="Arial"/>
          <w:color w:val="auto"/>
        </w:rPr>
        <w:t xml:space="preserve">ez těchto dokumentů se k mnoha připomínkám nelze řádně vyjádřit, </w:t>
      </w:r>
      <w:r>
        <w:rPr>
          <w:rFonts w:ascii="Arial" w:hAnsi="Arial" w:cs="Arial"/>
          <w:color w:val="auto"/>
        </w:rPr>
        <w:t xml:space="preserve">zejména </w:t>
      </w:r>
      <w:r w:rsidRPr="005E7560">
        <w:rPr>
          <w:rFonts w:ascii="Arial" w:hAnsi="Arial" w:cs="Arial"/>
          <w:color w:val="auto"/>
        </w:rPr>
        <w:t xml:space="preserve">když z textu vyhlášky není zřejmé, co bylo cílem zákonodárce a celý proces postrádá </w:t>
      </w:r>
      <w:r>
        <w:rPr>
          <w:rFonts w:ascii="Arial" w:hAnsi="Arial" w:cs="Arial"/>
          <w:color w:val="auto"/>
        </w:rPr>
        <w:t xml:space="preserve">prvky </w:t>
      </w:r>
      <w:r w:rsidRPr="005E7560">
        <w:rPr>
          <w:rFonts w:ascii="Arial" w:hAnsi="Arial" w:cs="Arial"/>
          <w:color w:val="auto"/>
        </w:rPr>
        <w:t>transparentnost</w:t>
      </w:r>
      <w:r>
        <w:rPr>
          <w:rFonts w:ascii="Arial" w:hAnsi="Arial" w:cs="Arial"/>
          <w:color w:val="auto"/>
        </w:rPr>
        <w:t>i</w:t>
      </w:r>
      <w:r w:rsidRPr="005E7560">
        <w:rPr>
          <w:rFonts w:ascii="Arial" w:hAnsi="Arial" w:cs="Arial"/>
          <w:color w:val="auto"/>
        </w:rPr>
        <w:t>.</w:t>
      </w:r>
    </w:p>
    <w:p w:rsidR="005E7560" w:rsidRPr="005E7560" w:rsidRDefault="005E7560" w:rsidP="006B77C4">
      <w:pPr>
        <w:pStyle w:val="Default"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P</w:t>
      </w:r>
      <w:r w:rsidR="00DB6F9F">
        <w:rPr>
          <w:rFonts w:ascii="Arial" w:hAnsi="Arial" w:cs="Arial"/>
          <w:b/>
          <w:color w:val="auto"/>
        </w:rPr>
        <w:t>řipomínku považujeme za zásadní.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Navrhovaná účinnost nového předpisu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 xml:space="preserve">Obecně je navržena účinnost vyhlášky </w:t>
      </w:r>
      <w:r w:rsidR="005565A5">
        <w:rPr>
          <w:rFonts w:ascii="Arial" w:hAnsi="Arial" w:cs="Arial"/>
          <w:color w:val="auto"/>
        </w:rPr>
        <w:t>k</w:t>
      </w:r>
      <w:r w:rsidRPr="005E7560">
        <w:rPr>
          <w:rFonts w:ascii="Arial" w:hAnsi="Arial" w:cs="Arial"/>
          <w:color w:val="auto"/>
        </w:rPr>
        <w:t xml:space="preserve"> 1. ledn</w:t>
      </w:r>
      <w:r w:rsidR="005565A5">
        <w:rPr>
          <w:rFonts w:ascii="Arial" w:hAnsi="Arial" w:cs="Arial"/>
          <w:color w:val="auto"/>
        </w:rPr>
        <w:t>u</w:t>
      </w:r>
      <w:r w:rsidRPr="005E7560">
        <w:rPr>
          <w:rFonts w:ascii="Arial" w:hAnsi="Arial" w:cs="Arial"/>
          <w:color w:val="auto"/>
        </w:rPr>
        <w:t xml:space="preserve"> 2020</w:t>
      </w:r>
      <w:r w:rsidR="005565A5">
        <w:rPr>
          <w:rFonts w:ascii="Arial" w:hAnsi="Arial" w:cs="Arial"/>
          <w:color w:val="auto"/>
        </w:rPr>
        <w:t>,</w:t>
      </w:r>
      <w:r w:rsidRPr="005E7560">
        <w:rPr>
          <w:rFonts w:ascii="Arial" w:hAnsi="Arial" w:cs="Arial"/>
          <w:color w:val="auto"/>
        </w:rPr>
        <w:t xml:space="preserve"> s výjimkou § 5</w:t>
      </w:r>
      <w:r w:rsidR="00DB6F9F">
        <w:rPr>
          <w:rFonts w:ascii="Arial" w:hAnsi="Arial" w:cs="Arial"/>
          <w:color w:val="auto"/>
        </w:rPr>
        <w:t xml:space="preserve">, resp. </w:t>
      </w:r>
      <w:r w:rsidRPr="005E7560">
        <w:rPr>
          <w:rFonts w:ascii="Arial" w:hAnsi="Arial" w:cs="Arial"/>
          <w:color w:val="auto"/>
        </w:rPr>
        <w:t>§ 26 odst. 7</w:t>
      </w:r>
      <w:r w:rsidR="00DB6F9F">
        <w:rPr>
          <w:rFonts w:ascii="Arial" w:hAnsi="Arial" w:cs="Arial"/>
          <w:color w:val="auto"/>
        </w:rPr>
        <w:t xml:space="preserve">, u kterých je navržena účinnost k </w:t>
      </w:r>
      <w:r w:rsidR="00DB6F9F" w:rsidRPr="00DB6F9F">
        <w:rPr>
          <w:rFonts w:ascii="Arial" w:hAnsi="Arial" w:cs="Arial"/>
          <w:color w:val="auto"/>
        </w:rPr>
        <w:t>1. ledn</w:t>
      </w:r>
      <w:r w:rsidR="00DB6F9F">
        <w:rPr>
          <w:rFonts w:ascii="Arial" w:hAnsi="Arial" w:cs="Arial"/>
          <w:color w:val="auto"/>
        </w:rPr>
        <w:t>u</w:t>
      </w:r>
      <w:r w:rsidR="00DB6F9F" w:rsidRPr="00DB6F9F">
        <w:rPr>
          <w:rFonts w:ascii="Arial" w:hAnsi="Arial" w:cs="Arial"/>
          <w:color w:val="auto"/>
        </w:rPr>
        <w:t xml:space="preserve"> 2021, </w:t>
      </w:r>
      <w:r w:rsidR="00DB6F9F">
        <w:rPr>
          <w:rFonts w:ascii="Arial" w:hAnsi="Arial" w:cs="Arial"/>
          <w:color w:val="auto"/>
        </w:rPr>
        <w:t xml:space="preserve">resp. k </w:t>
      </w:r>
      <w:r w:rsidR="00DB6F9F" w:rsidRPr="00DB6F9F">
        <w:rPr>
          <w:rFonts w:ascii="Arial" w:hAnsi="Arial" w:cs="Arial"/>
          <w:color w:val="auto"/>
        </w:rPr>
        <w:t>1. ledn</w:t>
      </w:r>
      <w:r w:rsidR="00DB6F9F">
        <w:rPr>
          <w:rFonts w:ascii="Arial" w:hAnsi="Arial" w:cs="Arial"/>
          <w:color w:val="auto"/>
        </w:rPr>
        <w:t>u</w:t>
      </w:r>
      <w:r w:rsidR="00DB6F9F" w:rsidRPr="00DB6F9F">
        <w:rPr>
          <w:rFonts w:ascii="Arial" w:hAnsi="Arial" w:cs="Arial"/>
          <w:color w:val="auto"/>
        </w:rPr>
        <w:t xml:space="preserve"> 2022.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 xml:space="preserve">Připomínka a požadavek </w:t>
      </w:r>
      <w:r w:rsidR="00DB6F9F">
        <w:rPr>
          <w:rFonts w:ascii="Arial" w:hAnsi="Arial" w:cs="Arial"/>
          <w:b/>
          <w:color w:val="auto"/>
        </w:rPr>
        <w:t>ČPS</w:t>
      </w:r>
      <w:r w:rsidRPr="005E7560">
        <w:rPr>
          <w:rFonts w:ascii="Arial" w:hAnsi="Arial" w:cs="Arial"/>
          <w:b/>
          <w:color w:val="auto"/>
        </w:rPr>
        <w:t>:</w:t>
      </w:r>
    </w:p>
    <w:p w:rsidR="00DB6F9F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>S navrhovanými obecným termínem nelze souhlasit</w:t>
      </w:r>
      <w:r w:rsidR="00DB6F9F">
        <w:rPr>
          <w:rFonts w:ascii="Arial" w:hAnsi="Arial" w:cs="Arial"/>
          <w:color w:val="auto"/>
        </w:rPr>
        <w:t>. S</w:t>
      </w:r>
      <w:r w:rsidRPr="005E7560">
        <w:rPr>
          <w:rFonts w:ascii="Arial" w:hAnsi="Arial" w:cs="Arial"/>
          <w:color w:val="auto"/>
        </w:rPr>
        <w:t> ohledem na další legislativní proces nebude vyhláška publikována dříve než na začátku prosince</w:t>
      </w:r>
      <w:r w:rsidR="00DB6F9F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DB6F9F">
        <w:rPr>
          <w:rFonts w:ascii="Arial" w:hAnsi="Arial" w:cs="Arial"/>
          <w:color w:val="auto"/>
        </w:rPr>
        <w:t>t.r</w:t>
      </w:r>
      <w:proofErr w:type="spellEnd"/>
      <w:r w:rsidR="00DB6F9F">
        <w:rPr>
          <w:rFonts w:ascii="Arial" w:hAnsi="Arial" w:cs="Arial"/>
          <w:color w:val="auto"/>
        </w:rPr>
        <w:t>.</w:t>
      </w:r>
      <w:proofErr w:type="gramEnd"/>
      <w:r w:rsidRPr="005E7560">
        <w:rPr>
          <w:rFonts w:ascii="Arial" w:hAnsi="Arial" w:cs="Arial"/>
          <w:color w:val="auto"/>
        </w:rPr>
        <w:t xml:space="preserve"> a to je zcela nepřiměřená doba pro implementaci</w:t>
      </w:r>
      <w:r w:rsidR="00DB6F9F">
        <w:rPr>
          <w:rFonts w:ascii="Arial" w:hAnsi="Arial" w:cs="Arial"/>
          <w:color w:val="auto"/>
        </w:rPr>
        <w:t xml:space="preserve">, </w:t>
      </w:r>
      <w:r w:rsidRPr="005E7560">
        <w:rPr>
          <w:rFonts w:ascii="Arial" w:hAnsi="Arial" w:cs="Arial"/>
          <w:color w:val="auto"/>
        </w:rPr>
        <w:t xml:space="preserve">nastavení procesů, </w:t>
      </w:r>
      <w:r w:rsidR="00DB6F9F">
        <w:rPr>
          <w:rFonts w:ascii="Arial" w:hAnsi="Arial" w:cs="Arial"/>
          <w:color w:val="auto"/>
        </w:rPr>
        <w:t xml:space="preserve">zejména </w:t>
      </w:r>
      <w:r w:rsidRPr="005E7560">
        <w:rPr>
          <w:rFonts w:ascii="Arial" w:hAnsi="Arial" w:cs="Arial"/>
          <w:color w:val="auto"/>
        </w:rPr>
        <w:t xml:space="preserve">informačních </w:t>
      </w:r>
      <w:r w:rsidRPr="005E7560">
        <w:rPr>
          <w:rFonts w:ascii="Arial" w:hAnsi="Arial" w:cs="Arial"/>
          <w:color w:val="auto"/>
        </w:rPr>
        <w:lastRenderedPageBreak/>
        <w:t>systémů dodavatelů s energiemi. Opět je zde nutno zmínit, že se nejedná o</w:t>
      </w:r>
      <w:r w:rsidR="00DB6F9F">
        <w:rPr>
          <w:rFonts w:ascii="Arial" w:hAnsi="Arial" w:cs="Arial"/>
          <w:color w:val="auto"/>
        </w:rPr>
        <w:t> </w:t>
      </w:r>
      <w:r w:rsidRPr="005E7560">
        <w:rPr>
          <w:rFonts w:ascii="Arial" w:hAnsi="Arial" w:cs="Arial"/>
          <w:color w:val="auto"/>
        </w:rPr>
        <w:t xml:space="preserve">minimalistickou novelu stávajícího předpisu, ale o zcela nový návrh vyhlášky, který přináší mnohé změny </w:t>
      </w:r>
      <w:r w:rsidR="00DB6F9F">
        <w:rPr>
          <w:rFonts w:ascii="Arial" w:hAnsi="Arial" w:cs="Arial"/>
          <w:color w:val="auto"/>
        </w:rPr>
        <w:t>do</w:t>
      </w:r>
      <w:r w:rsidRPr="005E7560">
        <w:rPr>
          <w:rFonts w:ascii="Arial" w:hAnsi="Arial" w:cs="Arial"/>
          <w:color w:val="auto"/>
        </w:rPr>
        <w:t xml:space="preserve"> fungování systémů dodavatelů</w:t>
      </w:r>
      <w:r w:rsidR="00DB6F9F">
        <w:rPr>
          <w:rFonts w:ascii="Arial" w:hAnsi="Arial" w:cs="Arial"/>
          <w:color w:val="auto"/>
        </w:rPr>
        <w:t>,</w:t>
      </w:r>
      <w:r w:rsidRPr="005E7560">
        <w:rPr>
          <w:rFonts w:ascii="Arial" w:hAnsi="Arial" w:cs="Arial"/>
          <w:color w:val="auto"/>
        </w:rPr>
        <w:t xml:space="preserve"> a který ve stanovených termínech jednotlivých standardů předpokládá automatické zpracování, které je možné zcela zavádět až </w:t>
      </w:r>
      <w:r w:rsidR="00DB6F9F">
        <w:rPr>
          <w:rFonts w:ascii="Arial" w:hAnsi="Arial" w:cs="Arial"/>
          <w:color w:val="auto"/>
        </w:rPr>
        <w:t xml:space="preserve">po vydání </w:t>
      </w:r>
      <w:r w:rsidRPr="005E7560">
        <w:rPr>
          <w:rFonts w:ascii="Arial" w:hAnsi="Arial" w:cs="Arial"/>
          <w:color w:val="auto"/>
        </w:rPr>
        <w:t>daného předpisu ve Sbírce zákonů ČR a</w:t>
      </w:r>
      <w:r w:rsidR="00DB6F9F">
        <w:rPr>
          <w:rFonts w:ascii="Arial" w:hAnsi="Arial" w:cs="Arial"/>
          <w:color w:val="auto"/>
        </w:rPr>
        <w:t xml:space="preserve"> následném </w:t>
      </w:r>
      <w:r w:rsidRPr="005E7560">
        <w:rPr>
          <w:rFonts w:ascii="Arial" w:hAnsi="Arial" w:cs="Arial"/>
          <w:color w:val="auto"/>
        </w:rPr>
        <w:t>n</w:t>
      </w:r>
      <w:r w:rsidR="00DB6F9F">
        <w:rPr>
          <w:rFonts w:ascii="Arial" w:hAnsi="Arial" w:cs="Arial"/>
          <w:color w:val="auto"/>
        </w:rPr>
        <w:t xml:space="preserve">ávrhu </w:t>
      </w:r>
      <w:r w:rsidRPr="005E7560">
        <w:rPr>
          <w:rFonts w:ascii="Arial" w:hAnsi="Arial" w:cs="Arial"/>
          <w:color w:val="auto"/>
        </w:rPr>
        <w:t xml:space="preserve">úprav, </w:t>
      </w:r>
      <w:r w:rsidR="00DB6F9F">
        <w:rPr>
          <w:rFonts w:ascii="Arial" w:hAnsi="Arial" w:cs="Arial"/>
          <w:color w:val="auto"/>
        </w:rPr>
        <w:t xml:space="preserve">jejich </w:t>
      </w:r>
      <w:r w:rsidRPr="005E7560">
        <w:rPr>
          <w:rFonts w:ascii="Arial" w:hAnsi="Arial" w:cs="Arial"/>
          <w:color w:val="auto"/>
        </w:rPr>
        <w:t>implementaci a otestování informačních systémů. Navržený posun účinnosti u dalších ustanovení pak lze vnímat z pohledu dodavatele a</w:t>
      </w:r>
      <w:r w:rsidR="00DB6F9F">
        <w:rPr>
          <w:rFonts w:ascii="Arial" w:hAnsi="Arial" w:cs="Arial"/>
          <w:color w:val="auto"/>
        </w:rPr>
        <w:t> </w:t>
      </w:r>
      <w:r w:rsidRPr="005E7560">
        <w:rPr>
          <w:rFonts w:ascii="Arial" w:hAnsi="Arial" w:cs="Arial"/>
          <w:color w:val="auto"/>
        </w:rPr>
        <w:t xml:space="preserve">jeho nové vykazovací povinnosti oproti distributorovi jako diskriminační. Navrhujeme, aby účinnost nového předpisu byla </w:t>
      </w:r>
      <w:r w:rsidR="00DB6F9F">
        <w:rPr>
          <w:rFonts w:ascii="Arial" w:hAnsi="Arial" w:cs="Arial"/>
          <w:color w:val="auto"/>
        </w:rPr>
        <w:t xml:space="preserve">odložena o </w:t>
      </w:r>
      <w:r w:rsidRPr="005E7560">
        <w:rPr>
          <w:rFonts w:ascii="Arial" w:hAnsi="Arial" w:cs="Arial"/>
          <w:color w:val="auto"/>
        </w:rPr>
        <w:t xml:space="preserve">jeden rok od jeho </w:t>
      </w:r>
      <w:r w:rsidR="00DB6F9F">
        <w:rPr>
          <w:rFonts w:ascii="Arial" w:hAnsi="Arial" w:cs="Arial"/>
          <w:color w:val="auto"/>
        </w:rPr>
        <w:t>vydání ve Sbírce.</w:t>
      </w:r>
    </w:p>
    <w:p w:rsidR="005E7560" w:rsidRPr="005E7560" w:rsidRDefault="00DB6F9F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Minimální </w:t>
      </w:r>
      <w:proofErr w:type="spellStart"/>
      <w:r>
        <w:rPr>
          <w:rFonts w:ascii="Arial" w:hAnsi="Arial" w:cs="Arial"/>
          <w:color w:val="auto"/>
        </w:rPr>
        <w:t>legisvaknční</w:t>
      </w:r>
      <w:proofErr w:type="spellEnd"/>
      <w:r>
        <w:rPr>
          <w:rFonts w:ascii="Arial" w:hAnsi="Arial" w:cs="Arial"/>
          <w:color w:val="auto"/>
        </w:rPr>
        <w:t xml:space="preserve"> lhůta by měla být půl roku.</w:t>
      </w:r>
    </w:p>
    <w:p w:rsidR="005E7560" w:rsidRPr="00DB6F9F" w:rsidRDefault="005E7560" w:rsidP="006B77C4">
      <w:pPr>
        <w:pStyle w:val="Default"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DB6F9F">
        <w:rPr>
          <w:rFonts w:ascii="Arial" w:hAnsi="Arial" w:cs="Arial"/>
          <w:b/>
          <w:color w:val="auto"/>
        </w:rPr>
        <w:t>Připomínku považujeme za zásadní</w:t>
      </w:r>
      <w:r w:rsidR="00DB6F9F">
        <w:rPr>
          <w:rFonts w:ascii="Arial" w:hAnsi="Arial" w:cs="Arial"/>
          <w:b/>
          <w:color w:val="auto"/>
        </w:rPr>
        <w:t>.</w:t>
      </w:r>
    </w:p>
    <w:p w:rsidR="001144AA" w:rsidRDefault="00DB6F9F" w:rsidP="006B77C4">
      <w:pPr>
        <w:pStyle w:val="Default"/>
        <w:keepNext/>
        <w:spacing w:before="240" w:after="12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Konkrétní p</w:t>
      </w:r>
      <w:r w:rsidR="005E7560" w:rsidRPr="005E7560">
        <w:rPr>
          <w:rFonts w:ascii="Arial" w:hAnsi="Arial" w:cs="Arial"/>
          <w:b/>
          <w:bCs/>
          <w:color w:val="auto"/>
        </w:rPr>
        <w:t>řipomínky</w:t>
      </w:r>
    </w:p>
    <w:p w:rsidR="005E7560" w:rsidRPr="005E7560" w:rsidRDefault="001144AA" w:rsidP="006B77C4">
      <w:pPr>
        <w:pStyle w:val="Default"/>
        <w:spacing w:before="120" w:after="12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Všechny níže uvedené konkrétní připomínky </w:t>
      </w:r>
      <w:r w:rsidR="005E7560" w:rsidRPr="005E7560">
        <w:rPr>
          <w:rFonts w:ascii="Arial" w:hAnsi="Arial" w:cs="Arial"/>
          <w:b/>
          <w:bCs/>
          <w:color w:val="auto"/>
        </w:rPr>
        <w:t xml:space="preserve">k jednotlivým ustanovením návrhu vyhlášky </w:t>
      </w:r>
      <w:r w:rsidR="00DB6F9F">
        <w:rPr>
          <w:rFonts w:ascii="Arial" w:hAnsi="Arial" w:cs="Arial"/>
          <w:b/>
          <w:bCs/>
          <w:color w:val="auto"/>
        </w:rPr>
        <w:t xml:space="preserve">považujeme </w:t>
      </w:r>
      <w:r w:rsidR="005E7560" w:rsidRPr="005E7560">
        <w:rPr>
          <w:rFonts w:ascii="Arial" w:hAnsi="Arial" w:cs="Arial"/>
          <w:b/>
          <w:bCs/>
          <w:color w:val="auto"/>
        </w:rPr>
        <w:t>(</w:t>
      </w:r>
      <w:r w:rsidR="00DB6F9F">
        <w:rPr>
          <w:rFonts w:ascii="Arial" w:hAnsi="Arial" w:cs="Arial"/>
          <w:b/>
          <w:bCs/>
          <w:color w:val="auto"/>
        </w:rPr>
        <w:t xml:space="preserve">vzhledem k absenci </w:t>
      </w:r>
      <w:r w:rsidR="005E7560" w:rsidRPr="005E7560">
        <w:rPr>
          <w:rFonts w:ascii="Arial" w:hAnsi="Arial" w:cs="Arial"/>
          <w:b/>
          <w:bCs/>
          <w:color w:val="auto"/>
        </w:rPr>
        <w:t> důvodové zpráv</w:t>
      </w:r>
      <w:r w:rsidR="00DB6F9F">
        <w:rPr>
          <w:rFonts w:ascii="Arial" w:hAnsi="Arial" w:cs="Arial"/>
          <w:b/>
          <w:bCs/>
          <w:color w:val="auto"/>
        </w:rPr>
        <w:t xml:space="preserve">y a nemožnosti se seznámit </w:t>
      </w:r>
      <w:r>
        <w:rPr>
          <w:rFonts w:ascii="Arial" w:hAnsi="Arial" w:cs="Arial"/>
          <w:b/>
          <w:bCs/>
          <w:color w:val="auto"/>
        </w:rPr>
        <w:t>s odůvodněním jejich návrhu</w:t>
      </w:r>
      <w:r w:rsidR="005E7560" w:rsidRPr="005E7560">
        <w:rPr>
          <w:rFonts w:ascii="Arial" w:hAnsi="Arial" w:cs="Arial"/>
          <w:b/>
          <w:bCs/>
          <w:color w:val="auto"/>
        </w:rPr>
        <w:t>) za zásadní</w:t>
      </w:r>
      <w:r>
        <w:rPr>
          <w:rFonts w:ascii="Arial" w:hAnsi="Arial" w:cs="Arial"/>
          <w:b/>
          <w:bCs/>
          <w:color w:val="auto"/>
        </w:rPr>
        <w:t>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 doplnění výjimky pro nedodržení standardu - § 3 odst. 2) písm. e)</w:t>
      </w:r>
    </w:p>
    <w:p w:rsidR="005E7560" w:rsidRPr="005E7560" w:rsidRDefault="005E7560" w:rsidP="006B77C4">
      <w:pPr>
        <w:pStyle w:val="Default"/>
        <w:keepNext/>
        <w:spacing w:before="120" w:after="60"/>
        <w:ind w:left="425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spacing w:after="60"/>
        <w:ind w:left="567"/>
        <w:jc w:val="both"/>
        <w:rPr>
          <w:rFonts w:ascii="Arial" w:hAnsi="Arial" w:cs="Arial"/>
          <w:iCs/>
          <w:color w:val="auto"/>
        </w:rPr>
      </w:pPr>
      <w:r w:rsidRPr="005E7560">
        <w:rPr>
          <w:rFonts w:ascii="Arial" w:hAnsi="Arial" w:cs="Arial"/>
          <w:iCs/>
          <w:color w:val="auto"/>
        </w:rPr>
        <w:t xml:space="preserve">Nově navrhujeme doplnit </w:t>
      </w:r>
      <w:r w:rsidR="001144AA">
        <w:rPr>
          <w:rFonts w:ascii="Arial" w:hAnsi="Arial" w:cs="Arial"/>
          <w:iCs/>
          <w:color w:val="auto"/>
        </w:rPr>
        <w:t xml:space="preserve">v </w:t>
      </w:r>
      <w:r w:rsidRPr="005E7560">
        <w:rPr>
          <w:rFonts w:ascii="Arial" w:hAnsi="Arial" w:cs="Arial"/>
          <w:iCs/>
          <w:color w:val="auto"/>
        </w:rPr>
        <w:t>§ 3 odst. 2) písm. e), kter</w:t>
      </w:r>
      <w:r w:rsidR="001144AA">
        <w:rPr>
          <w:rFonts w:ascii="Arial" w:hAnsi="Arial" w:cs="Arial"/>
          <w:iCs/>
          <w:color w:val="auto"/>
        </w:rPr>
        <w:t>é</w:t>
      </w:r>
      <w:r w:rsidRPr="005E7560">
        <w:rPr>
          <w:rFonts w:ascii="Arial" w:hAnsi="Arial" w:cs="Arial"/>
          <w:iCs/>
          <w:color w:val="auto"/>
        </w:rPr>
        <w:t xml:space="preserve"> zní: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5E7560">
        <w:rPr>
          <w:rFonts w:ascii="Arial" w:hAnsi="Arial" w:cs="Arial"/>
          <w:bCs/>
          <w:i/>
          <w:iCs/>
          <w:sz w:val="24"/>
          <w:szCs w:val="24"/>
        </w:rPr>
        <w:t>e)</w:t>
      </w:r>
      <w:r w:rsidRPr="005E756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nastala plánovaná odstávka systému držitele licence oznámená způsobem umožňující dálkový přístup nejpozději 14 dní předem; za nedodržení standardu pak nelze v daném případě považovat dobu trvání odstávky, o kterou se prodlužují termíny ve vyhlášce, maximálně však o 2 pracovní dny jedenkrát za čtvrt roku.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>Dané ustanovení je primárně psáno na povinnosti distributora, a pokud se skutkové podstaty vyhlášky rozšiřují i na další činnosti obchodníka, pak je třeba upravit i toto ustanovení o výjimkách tak, aby měl právo v případech plánovaných odstávek systému možnost standard patřičně upravit. Je zřejmé, že nelze spravedlivě požadovat, aby byly systémy všech obchodníků k</w:t>
      </w:r>
      <w:r w:rsidR="001144AA">
        <w:rPr>
          <w:rFonts w:ascii="Arial" w:hAnsi="Arial" w:cs="Arial"/>
          <w:color w:val="auto"/>
        </w:rPr>
        <w:t> dispozici bez možnosti úprav a </w:t>
      </w:r>
      <w:r w:rsidRPr="005E7560">
        <w:rPr>
          <w:rFonts w:ascii="Arial" w:hAnsi="Arial" w:cs="Arial"/>
          <w:color w:val="auto"/>
        </w:rPr>
        <w:t>aktualizací a že nelze nejen vzhledem k stavu na trhu práce všechny takové úpravy stihnout v nočních hodinách o víkendech.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ke lhůtě v § 4 odst. 1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iCs/>
          <w:color w:val="auto"/>
        </w:rPr>
      </w:pPr>
      <w:r w:rsidRPr="005E7560">
        <w:rPr>
          <w:rFonts w:ascii="Arial" w:hAnsi="Arial" w:cs="Arial"/>
          <w:iCs/>
          <w:color w:val="auto"/>
        </w:rPr>
        <w:t>Nově navrhujeme lhůtu v § 4 odst. 1 zkrátit z 12 měsíců na maximálně 90 dnů</w:t>
      </w:r>
      <w:r w:rsidR="00E2258A">
        <w:rPr>
          <w:rFonts w:ascii="Arial" w:hAnsi="Arial" w:cs="Arial"/>
          <w:iCs/>
          <w:color w:val="auto"/>
        </w:rPr>
        <w:t xml:space="preserve"> (variantně</w:t>
      </w:r>
      <w:r w:rsidR="00CD1E0A">
        <w:rPr>
          <w:rFonts w:ascii="Arial" w:hAnsi="Arial" w:cs="Arial"/>
          <w:iCs/>
          <w:color w:val="auto"/>
        </w:rPr>
        <w:t xml:space="preserve"> 3 měsíce)</w:t>
      </w:r>
      <w:r w:rsidRPr="005E7560">
        <w:rPr>
          <w:rFonts w:ascii="Arial" w:hAnsi="Arial" w:cs="Arial"/>
          <w:iCs/>
          <w:color w:val="auto"/>
        </w:rPr>
        <w:t xml:space="preserve"> ode dne následujícího po dni, </w:t>
      </w:r>
      <w:r w:rsidR="00597C27" w:rsidRPr="00597C27">
        <w:rPr>
          <w:rFonts w:ascii="Arial" w:hAnsi="Arial" w:cs="Arial"/>
          <w:iCs/>
          <w:color w:val="auto"/>
        </w:rPr>
        <w:t>ve kterém uplynula lhůta podle příslušného standardu nebo mělo být plánované omezení nebo přerušení přenosu nebo distribuce elektřiny započato nebo ukončeno.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>Nespatřujeme důvod, aby došlo k takto zásadnímu prodloužení doby na uplatnění požadavku na náhradu škody oproti současnému stavu v případě, který si nevyžaduje žádné výjimečné lhůty na zjištění a prokázání daného stavu a nevyžaduje žádné složité administrativní kroky. Přerušení dodávky zákazník pozná okamžitě a 2 až 3 měsíce je dostatečn</w:t>
      </w:r>
      <w:r w:rsidR="001144AA">
        <w:rPr>
          <w:rFonts w:ascii="Arial" w:hAnsi="Arial" w:cs="Arial"/>
          <w:sz w:val="24"/>
          <w:szCs w:val="24"/>
        </w:rPr>
        <w:t>á</w:t>
      </w:r>
      <w:r w:rsidRPr="005E7560">
        <w:rPr>
          <w:rFonts w:ascii="Arial" w:hAnsi="Arial" w:cs="Arial"/>
          <w:sz w:val="24"/>
          <w:szCs w:val="24"/>
        </w:rPr>
        <w:t xml:space="preserve"> lhůta na žádost o náhradu škody, navíc, když se obrací přímo na obchodníka a nikoliv na distributora. Dané prodloužení </w:t>
      </w:r>
      <w:r w:rsidRPr="005E7560">
        <w:rPr>
          <w:rFonts w:ascii="Arial" w:hAnsi="Arial" w:cs="Arial"/>
          <w:sz w:val="24"/>
          <w:szCs w:val="24"/>
        </w:rPr>
        <w:lastRenderedPageBreak/>
        <w:t xml:space="preserve">nezvedne úroveň ochrany zákazníka a domníváme se, že ani nebude za strany zákazníků nijak příliš aktivně využíváno, protože pokud nepožádá daný zákazník </w:t>
      </w:r>
      <w:r w:rsidR="001144AA">
        <w:rPr>
          <w:rFonts w:ascii="Arial" w:hAnsi="Arial" w:cs="Arial"/>
          <w:sz w:val="24"/>
          <w:szCs w:val="24"/>
        </w:rPr>
        <w:t>i</w:t>
      </w:r>
      <w:r w:rsidRPr="005E7560">
        <w:rPr>
          <w:rFonts w:ascii="Arial" w:hAnsi="Arial" w:cs="Arial"/>
          <w:sz w:val="24"/>
          <w:szCs w:val="24"/>
        </w:rPr>
        <w:t xml:space="preserve">hned, lze spíše očekávat, že nepožádá vůbec. </w:t>
      </w:r>
      <w:r w:rsidR="00CD1E0A">
        <w:rPr>
          <w:rFonts w:ascii="Arial" w:hAnsi="Arial" w:cs="Arial"/>
          <w:sz w:val="24"/>
          <w:szCs w:val="24"/>
        </w:rPr>
        <w:t xml:space="preserve">Právní nejistota by neměla být extrémně dlouhá. Současně </w:t>
      </w:r>
      <w:r w:rsidRPr="005E7560">
        <w:rPr>
          <w:rFonts w:ascii="Arial" w:hAnsi="Arial" w:cs="Arial"/>
          <w:sz w:val="24"/>
          <w:szCs w:val="24"/>
        </w:rPr>
        <w:t>zde vnímáme silné riziko, že tzv. „energetičtí šmejdi“ začnou obcházet zákazníky s nabídkou analýzy dodržování standardů a samozřejmě si pak většinu z případné platby ponechají pro sebe, což zcela jistě není cílem této změny.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ke lhůtě v § 4 odst. 2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iCs/>
          <w:color w:val="auto"/>
        </w:rPr>
      </w:pPr>
      <w:r w:rsidRPr="005E7560">
        <w:rPr>
          <w:rFonts w:ascii="Arial" w:hAnsi="Arial" w:cs="Arial"/>
          <w:iCs/>
          <w:color w:val="auto"/>
        </w:rPr>
        <w:t xml:space="preserve">Nově navrhujeme lhůtu v § 4 odst. 2 prodloužit </w:t>
      </w:r>
      <w:proofErr w:type="gramStart"/>
      <w:r w:rsidRPr="005E7560">
        <w:rPr>
          <w:rFonts w:ascii="Arial" w:hAnsi="Arial" w:cs="Arial"/>
          <w:iCs/>
          <w:color w:val="auto"/>
        </w:rPr>
        <w:t>ze</w:t>
      </w:r>
      <w:proofErr w:type="gramEnd"/>
      <w:r w:rsidRPr="005E7560">
        <w:rPr>
          <w:rFonts w:ascii="Arial" w:hAnsi="Arial" w:cs="Arial"/>
          <w:iCs/>
          <w:color w:val="auto"/>
        </w:rPr>
        <w:t xml:space="preserve"> 2 dnů od</w:t>
      </w:r>
      <w:r w:rsidR="00CD1E0A">
        <w:rPr>
          <w:rFonts w:ascii="Arial" w:hAnsi="Arial" w:cs="Arial"/>
          <w:iCs/>
          <w:color w:val="auto"/>
        </w:rPr>
        <w:t>e</w:t>
      </w:r>
      <w:r w:rsidRPr="005E7560">
        <w:rPr>
          <w:rFonts w:ascii="Arial" w:hAnsi="Arial" w:cs="Arial"/>
          <w:iCs/>
          <w:color w:val="auto"/>
        </w:rPr>
        <w:t xml:space="preserve"> dne přijetí žádosti na 4 pracovní dny ode dne přijetí žádosti.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>Dodavatel musí být schopen nastavit si takové procesy, které bude schopen sám dodržet za jakékoliv situace a to bez ohledu na formu žádosti (elektronická, doručená poštou apod.)</w:t>
      </w:r>
      <w:r w:rsidR="00CD1E0A">
        <w:rPr>
          <w:rFonts w:ascii="Arial" w:hAnsi="Arial" w:cs="Arial"/>
          <w:sz w:val="24"/>
          <w:szCs w:val="24"/>
        </w:rPr>
        <w:t xml:space="preserve"> i termín přijetí </w:t>
      </w:r>
      <w:r w:rsidR="00CD1E0A" w:rsidRPr="00CD1E0A">
        <w:rPr>
          <w:rFonts w:ascii="Arial" w:hAnsi="Arial" w:cs="Arial"/>
          <w:sz w:val="24"/>
          <w:szCs w:val="24"/>
        </w:rPr>
        <w:t>žádosti</w:t>
      </w:r>
      <w:r w:rsidRPr="00CD1E0A">
        <w:rPr>
          <w:rFonts w:ascii="Arial" w:hAnsi="Arial" w:cs="Arial"/>
          <w:sz w:val="24"/>
          <w:szCs w:val="24"/>
        </w:rPr>
        <w:t xml:space="preserve"> </w:t>
      </w:r>
      <w:r w:rsidR="00CD1E0A" w:rsidRPr="00CD1E0A">
        <w:rPr>
          <w:rFonts w:ascii="Arial" w:hAnsi="Arial" w:cs="Arial"/>
          <w:sz w:val="24"/>
          <w:szCs w:val="24"/>
        </w:rPr>
        <w:t>(</w:t>
      </w:r>
      <w:r w:rsidRPr="00CD1E0A">
        <w:rPr>
          <w:rFonts w:ascii="Arial" w:hAnsi="Arial" w:cs="Arial"/>
          <w:sz w:val="24"/>
          <w:szCs w:val="24"/>
        </w:rPr>
        <w:t>např. státní svátky apod.</w:t>
      </w:r>
      <w:r w:rsidR="00CD1E0A" w:rsidRPr="00CD1E0A">
        <w:rPr>
          <w:rFonts w:ascii="Arial" w:hAnsi="Arial" w:cs="Arial"/>
          <w:sz w:val="24"/>
          <w:szCs w:val="24"/>
        </w:rPr>
        <w:t>). Dodavatel musí zajistit nejen postoupení žádosti, ale i zpracování reakce Provozovatele a odeslání finální reakce zákazníkovi.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povinnosti plynoucí z § 5 – pro dodavatele pak především § 5 odst. 4) + povinnost podle § 6 odst. 3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iCs/>
          <w:color w:val="auto"/>
        </w:rPr>
      </w:pPr>
      <w:r w:rsidRPr="005E7560">
        <w:rPr>
          <w:rFonts w:ascii="Arial" w:hAnsi="Arial" w:cs="Arial"/>
          <w:iCs/>
          <w:color w:val="auto"/>
        </w:rPr>
        <w:t>Navrhujeme § 5 a § 6 odst. 3 zcela vypustit.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 xml:space="preserve">Povinnost automatického placení náhrady škody bez aktivní žádosti zákazníka je porušením občanskoprávních principů. Náhrada škody by měla být aktivně uplatněna a také může být podle určitých pravidel promlčena. </w:t>
      </w:r>
      <w:proofErr w:type="spellStart"/>
      <w:r w:rsidRPr="005E7560">
        <w:rPr>
          <w:rFonts w:ascii="Arial" w:hAnsi="Arial" w:cs="Arial"/>
          <w:i/>
          <w:iCs/>
          <w:sz w:val="24"/>
          <w:szCs w:val="24"/>
        </w:rPr>
        <w:t>Vigilantibus</w:t>
      </w:r>
      <w:proofErr w:type="spellEnd"/>
      <w:r w:rsidRPr="005E756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E7560">
        <w:rPr>
          <w:rFonts w:ascii="Arial" w:hAnsi="Arial" w:cs="Arial"/>
          <w:i/>
          <w:iCs/>
          <w:sz w:val="24"/>
          <w:szCs w:val="24"/>
        </w:rPr>
        <w:t>iura</w:t>
      </w:r>
      <w:proofErr w:type="spellEnd"/>
      <w:r w:rsidRPr="005E756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E7560">
        <w:rPr>
          <w:rFonts w:ascii="Arial" w:hAnsi="Arial" w:cs="Arial"/>
          <w:i/>
          <w:iCs/>
          <w:sz w:val="24"/>
          <w:szCs w:val="24"/>
        </w:rPr>
        <w:t>scripta</w:t>
      </w:r>
      <w:proofErr w:type="spellEnd"/>
      <w:r w:rsidRPr="005E756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E7560">
        <w:rPr>
          <w:rFonts w:ascii="Arial" w:hAnsi="Arial" w:cs="Arial"/>
          <w:i/>
          <w:iCs/>
          <w:sz w:val="24"/>
          <w:szCs w:val="24"/>
        </w:rPr>
        <w:t>sunt</w:t>
      </w:r>
      <w:proofErr w:type="spellEnd"/>
      <w:r w:rsidRPr="005E7560">
        <w:rPr>
          <w:rFonts w:ascii="Arial" w:hAnsi="Arial" w:cs="Arial"/>
          <w:sz w:val="24"/>
          <w:szCs w:val="24"/>
        </w:rPr>
        <w:t>. Ochranářské role státu, tak musí být přiměřená a o náhradu škody je třeba aktivně se přihlásit.</w:t>
      </w:r>
    </w:p>
    <w:p w:rsidR="005E7560" w:rsidRPr="00CD1E0A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D1E0A">
        <w:rPr>
          <w:rFonts w:ascii="Arial" w:hAnsi="Arial" w:cs="Arial"/>
          <w:sz w:val="24"/>
          <w:szCs w:val="24"/>
        </w:rPr>
        <w:t>Náhradu škody lze vnímat jako paušalizovanou náhradu skutečné nebo potencionální škody způsobené zákazníkovi s tím, že zákazník neztrácí možnost domáhat se náhrady majetkové újmy převyšující tuto vyhláškovou náhradu (viz Eichlerová K. a</w:t>
      </w:r>
      <w:r w:rsidR="00E2258A">
        <w:rPr>
          <w:rFonts w:ascii="Arial" w:hAnsi="Arial" w:cs="Arial"/>
          <w:sz w:val="24"/>
          <w:szCs w:val="24"/>
        </w:rPr>
        <w:t> </w:t>
      </w:r>
      <w:r w:rsidRPr="00CD1E0A">
        <w:rPr>
          <w:rFonts w:ascii="Arial" w:hAnsi="Arial" w:cs="Arial"/>
          <w:sz w:val="24"/>
          <w:szCs w:val="24"/>
        </w:rPr>
        <w:t>kol.: Energetický zákon – komentář, Praha 2016. str. 918).</w:t>
      </w:r>
    </w:p>
    <w:p w:rsidR="005E7560" w:rsidRPr="00CD1E0A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D1E0A">
        <w:rPr>
          <w:rFonts w:ascii="Arial" w:hAnsi="Arial" w:cs="Arial"/>
          <w:sz w:val="24"/>
          <w:szCs w:val="24"/>
        </w:rPr>
        <w:t>Zákazník by měl subjektivně pociťovat tuto skutečnou či potenciální škodu a měl by být tedy zachován princip aktivního uplatnění paušalizované náhrady v prekluzivní lhůtě. V opačném případě by již nešlo o náhradu, ale o jakousi automatickou legální sankci. Není pak jasné, jak by fungovaly liberační důvody podle § 3 odst. 2.</w:t>
      </w:r>
    </w:p>
    <w:p w:rsidR="005E7560" w:rsidRPr="00CD1E0A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D1E0A">
        <w:rPr>
          <w:rFonts w:ascii="Arial" w:hAnsi="Arial" w:cs="Arial"/>
          <w:sz w:val="24"/>
          <w:szCs w:val="24"/>
        </w:rPr>
        <w:t>Předložené znění by bylo v příkrém rozporu s principy občanského práva i správního práva trestního. Není možné sankce ukládat na základě podzákonného předpisu, ale pouze na základě zákona.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 sazbám výše náhrad</w:t>
      </w:r>
      <w:r w:rsidR="00E2258A">
        <w:rPr>
          <w:rFonts w:ascii="Arial" w:hAnsi="Arial" w:cs="Arial"/>
          <w:b/>
          <w:color w:val="auto"/>
          <w:u w:val="single"/>
        </w:rPr>
        <w:t>y škody podle § 21, § 22 a § 23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 xml:space="preserve">Navrhuje sazby pro náhrady škody v § 21, § 22 a § 23 vypočítat přes systém procent </w:t>
      </w:r>
      <w:r w:rsidR="00E2258A">
        <w:rPr>
          <w:rFonts w:ascii="Arial" w:hAnsi="Arial" w:cs="Arial"/>
          <w:sz w:val="24"/>
          <w:szCs w:val="24"/>
        </w:rPr>
        <w:t>a </w:t>
      </w:r>
      <w:r w:rsidRPr="005E7560">
        <w:rPr>
          <w:rFonts w:ascii="Arial" w:hAnsi="Arial" w:cs="Arial"/>
          <w:sz w:val="24"/>
          <w:szCs w:val="24"/>
        </w:rPr>
        <w:t>nikoliv fixní částkou. Může být např. navázáno na plánovanou roční spotřebu nebo platbu za dodávku ve vazbě na počet dní</w:t>
      </w:r>
      <w:r w:rsidR="00E2258A">
        <w:rPr>
          <w:rFonts w:ascii="Arial" w:hAnsi="Arial" w:cs="Arial"/>
          <w:sz w:val="24"/>
          <w:szCs w:val="24"/>
        </w:rPr>
        <w:t>,</w:t>
      </w:r>
      <w:r w:rsidRPr="005E7560">
        <w:rPr>
          <w:rFonts w:ascii="Arial" w:hAnsi="Arial" w:cs="Arial"/>
          <w:sz w:val="24"/>
          <w:szCs w:val="24"/>
        </w:rPr>
        <w:t xml:space="preserve"> prodlení apod. Vypočítaná částka by dále byla </w:t>
      </w:r>
      <w:proofErr w:type="spellStart"/>
      <w:r w:rsidRPr="005E7560">
        <w:rPr>
          <w:rFonts w:ascii="Arial" w:hAnsi="Arial" w:cs="Arial"/>
          <w:sz w:val="24"/>
          <w:szCs w:val="24"/>
        </w:rPr>
        <w:t>zastropována</w:t>
      </w:r>
      <w:proofErr w:type="spellEnd"/>
      <w:r w:rsidRPr="005E7560">
        <w:rPr>
          <w:rFonts w:ascii="Arial" w:hAnsi="Arial" w:cs="Arial"/>
          <w:sz w:val="24"/>
          <w:szCs w:val="24"/>
        </w:rPr>
        <w:t xml:space="preserve"> maximální výší náhrady ve vztahu k roční platbě. Celý systém by </w:t>
      </w:r>
      <w:r w:rsidRPr="005E7560">
        <w:rPr>
          <w:rFonts w:ascii="Arial" w:hAnsi="Arial" w:cs="Arial"/>
          <w:sz w:val="24"/>
          <w:szCs w:val="24"/>
        </w:rPr>
        <w:lastRenderedPageBreak/>
        <w:t>měl být předem ještě konzultován, aby byl dostatečně transparentní a odpovídal skutečným škodám, které při</w:t>
      </w:r>
      <w:r w:rsidR="00E2258A">
        <w:rPr>
          <w:rFonts w:ascii="Arial" w:hAnsi="Arial" w:cs="Arial"/>
          <w:sz w:val="24"/>
          <w:szCs w:val="24"/>
        </w:rPr>
        <w:t xml:space="preserve"> nedodržení standardu vznikají.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>Jedná se o výš</w:t>
      </w:r>
      <w:r w:rsidR="00E2258A">
        <w:rPr>
          <w:rFonts w:ascii="Arial" w:hAnsi="Arial" w:cs="Arial"/>
          <w:sz w:val="24"/>
          <w:szCs w:val="24"/>
        </w:rPr>
        <w:t>e</w:t>
      </w:r>
      <w:r w:rsidRPr="005E7560">
        <w:rPr>
          <w:rFonts w:ascii="Arial" w:hAnsi="Arial" w:cs="Arial"/>
          <w:sz w:val="24"/>
          <w:szCs w:val="24"/>
        </w:rPr>
        <w:t xml:space="preserve"> náhrad škody a nikoliv o sankci, tudíž tyto hodnoty</w:t>
      </w:r>
      <w:r w:rsidR="00E2258A">
        <w:rPr>
          <w:rFonts w:ascii="Arial" w:hAnsi="Arial" w:cs="Arial"/>
          <w:sz w:val="24"/>
          <w:szCs w:val="24"/>
        </w:rPr>
        <w:t xml:space="preserve"> musí být, </w:t>
      </w:r>
      <w:r w:rsidRPr="005E7560">
        <w:rPr>
          <w:rFonts w:ascii="Arial" w:hAnsi="Arial" w:cs="Arial"/>
          <w:sz w:val="24"/>
          <w:szCs w:val="24"/>
        </w:rPr>
        <w:t>na základě principů občanského práva</w:t>
      </w:r>
      <w:r w:rsidR="00E2258A">
        <w:rPr>
          <w:rFonts w:ascii="Arial" w:hAnsi="Arial" w:cs="Arial"/>
          <w:sz w:val="24"/>
          <w:szCs w:val="24"/>
        </w:rPr>
        <w:t xml:space="preserve">, </w:t>
      </w:r>
      <w:r w:rsidRPr="005E7560">
        <w:rPr>
          <w:rFonts w:ascii="Arial" w:hAnsi="Arial" w:cs="Arial"/>
          <w:sz w:val="24"/>
          <w:szCs w:val="24"/>
        </w:rPr>
        <w:t>přiměřené vzniku škody, jinak by mohlo bez ohledu na prováděcí předpis dojít k bezdůvodnému obohacení zákazníka, který je odškodňován a prováděcí předpis by tak mohl být shledán v rozporu s ústavním pořádkem. Stejně jako je tomu u neoprávněných odběrů, lze analogicky předpokládat, že trendem práva dnešní doby je, aby výše náhrady byla prokazatelné a odvozena od reálného stavu věcí a nikoliv netransparentně stanovena pouze vyhláškou. Je zjevné, že zejména u malých odběrů může být taková „náhrada“ i několikanásobkem roční platby zákazníka, což je zjevně nepřiměřené a bez vztahu na teoreticky vzniklou škodu.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ke lhůtě v § 22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E2258A" w:rsidRDefault="005E7560" w:rsidP="006B77C4">
      <w:pPr>
        <w:pStyle w:val="Default"/>
        <w:spacing w:after="60"/>
        <w:ind w:left="567"/>
        <w:jc w:val="both"/>
        <w:rPr>
          <w:rFonts w:ascii="Arial" w:hAnsi="Arial" w:cs="Arial"/>
          <w:iCs/>
          <w:color w:val="auto"/>
        </w:rPr>
      </w:pPr>
      <w:r w:rsidRPr="00E2258A">
        <w:rPr>
          <w:rFonts w:ascii="Arial" w:hAnsi="Arial" w:cs="Arial"/>
          <w:iCs/>
          <w:color w:val="auto"/>
        </w:rPr>
        <w:t>Navrhujeme text § 22 odst. 1 písm. a) upravit následovně: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>Standardem lhůty pro vyúčtování dodávky elektřiny je</w:t>
      </w:r>
    </w:p>
    <w:p w:rsidR="005E7560" w:rsidRPr="005E7560" w:rsidRDefault="005E7560" w:rsidP="006B77C4">
      <w:pPr>
        <w:pStyle w:val="Default"/>
        <w:numPr>
          <w:ilvl w:val="0"/>
          <w:numId w:val="11"/>
        </w:numPr>
        <w:ind w:left="567" w:firstLine="0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 xml:space="preserve">zaslání </w:t>
      </w:r>
      <w:r w:rsidRPr="00E2258A">
        <w:rPr>
          <w:rFonts w:ascii="Arial" w:hAnsi="Arial" w:cs="Arial"/>
          <w:bCs/>
          <w:strike/>
          <w:color w:val="auto"/>
        </w:rPr>
        <w:t>písemného</w:t>
      </w:r>
      <w:r w:rsidRPr="005E7560">
        <w:rPr>
          <w:rFonts w:ascii="Arial" w:hAnsi="Arial" w:cs="Arial"/>
          <w:bCs/>
          <w:color w:val="auto"/>
        </w:rPr>
        <w:t xml:space="preserve"> řádného vyúčtování dodávky elektřiny podle jiného právního </w:t>
      </w:r>
      <w:proofErr w:type="spellStart"/>
      <w:r w:rsidRPr="005E7560">
        <w:rPr>
          <w:rFonts w:ascii="Arial" w:hAnsi="Arial" w:cs="Arial"/>
          <w:bCs/>
          <w:color w:val="auto"/>
        </w:rPr>
        <w:t>předpisu</w:t>
      </w:r>
      <w:r w:rsidRPr="00E2258A">
        <w:rPr>
          <w:rFonts w:ascii="Arial" w:hAnsi="Arial" w:cs="Arial"/>
          <w:bCs/>
          <w:color w:val="auto"/>
          <w:vertAlign w:val="superscript"/>
        </w:rPr>
        <w:t>5</w:t>
      </w:r>
      <w:proofErr w:type="spellEnd"/>
      <w:r w:rsidRPr="00E2258A">
        <w:rPr>
          <w:rFonts w:ascii="Arial" w:hAnsi="Arial" w:cs="Arial"/>
          <w:bCs/>
          <w:color w:val="auto"/>
          <w:vertAlign w:val="superscript"/>
        </w:rPr>
        <w:t>)</w:t>
      </w:r>
      <w:r w:rsidRPr="005E7560">
        <w:rPr>
          <w:rFonts w:ascii="Arial" w:hAnsi="Arial" w:cs="Arial"/>
          <w:bCs/>
          <w:color w:val="auto"/>
        </w:rPr>
        <w:t xml:space="preserve"> dodavatelem nebo dodavatelem sdružené služby zákazníkovi do 30 dnů ode dne předání údajů potřebných k vyúčtování plateb </w:t>
      </w:r>
      <w:r w:rsidRPr="005E7560">
        <w:rPr>
          <w:rFonts w:ascii="Arial" w:hAnsi="Arial" w:cs="Arial"/>
          <w:b/>
          <w:color w:val="auto"/>
        </w:rPr>
        <w:t>nebo ode dne dohodnutého mezi zákazníkem a dodavatelem ve smlouvě pro termín vyúčtování</w:t>
      </w:r>
      <w:r w:rsidRPr="005E7560">
        <w:rPr>
          <w:rFonts w:ascii="Arial" w:hAnsi="Arial" w:cs="Arial"/>
          <w:bCs/>
          <w:color w:val="auto"/>
        </w:rPr>
        <w:t xml:space="preserve"> za zúčtovací období příslušnému dodavateli nebo dodavateli sdružené služby prostřednictvím operátora trhu s elektřinou</w:t>
      </w:r>
      <w:r w:rsidRPr="00E2258A">
        <w:rPr>
          <w:rFonts w:ascii="Arial" w:hAnsi="Arial" w:cs="Arial"/>
          <w:b/>
          <w:bCs/>
          <w:color w:val="auto"/>
        </w:rPr>
        <w:t>,</w:t>
      </w:r>
      <w:r w:rsidR="00E2258A" w:rsidRPr="00E2258A">
        <w:rPr>
          <w:rFonts w:ascii="Arial" w:hAnsi="Arial" w:cs="Arial"/>
          <w:b/>
          <w:bCs/>
          <w:color w:val="auto"/>
        </w:rPr>
        <w:t xml:space="preserve"> tím není dotčen se zákazníkem ve smlouvě dohodnutý způsob zasílání vyúčtování</w:t>
      </w:r>
      <w:r w:rsidR="00E2258A">
        <w:rPr>
          <w:rFonts w:ascii="Arial" w:hAnsi="Arial" w:cs="Arial"/>
          <w:bCs/>
          <w:color w:val="auto"/>
        </w:rPr>
        <w:t>,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 xml:space="preserve">Je třeba uvést, že požadavky některých zákazníků (a to i v rámci veřejných zakázek) na podobu a termín fakturace se mohou lišit od zaběhnutých procesů navázaných na příjem </w:t>
      </w:r>
      <w:proofErr w:type="spellStart"/>
      <w:r w:rsidRPr="005E7560">
        <w:rPr>
          <w:rFonts w:ascii="Arial" w:hAnsi="Arial" w:cs="Arial"/>
          <w:bCs/>
          <w:color w:val="auto"/>
        </w:rPr>
        <w:t>DUF</w:t>
      </w:r>
      <w:proofErr w:type="spellEnd"/>
      <w:r w:rsidRPr="005E7560">
        <w:rPr>
          <w:rFonts w:ascii="Arial" w:hAnsi="Arial" w:cs="Arial"/>
          <w:bCs/>
          <w:color w:val="auto"/>
        </w:rPr>
        <w:t xml:space="preserve">. Často se jedná o požadavek zákazníka, který chce fakturaci kompletní k určenému měsíci, nebo má ve smlouvě, že chce fakturaci </w:t>
      </w:r>
      <w:proofErr w:type="spellStart"/>
      <w:r w:rsidRPr="005E7560">
        <w:rPr>
          <w:rFonts w:ascii="Arial" w:hAnsi="Arial" w:cs="Arial"/>
          <w:bCs/>
          <w:color w:val="auto"/>
        </w:rPr>
        <w:t>1x</w:t>
      </w:r>
      <w:proofErr w:type="spellEnd"/>
      <w:r w:rsidRPr="005E7560">
        <w:rPr>
          <w:rFonts w:ascii="Arial" w:hAnsi="Arial" w:cs="Arial"/>
          <w:bCs/>
          <w:color w:val="auto"/>
        </w:rPr>
        <w:t xml:space="preserve"> za rok, </w:t>
      </w:r>
      <w:proofErr w:type="spellStart"/>
      <w:r w:rsidRPr="005E7560">
        <w:rPr>
          <w:rFonts w:ascii="Arial" w:hAnsi="Arial" w:cs="Arial"/>
          <w:bCs/>
          <w:color w:val="auto"/>
        </w:rPr>
        <w:t>1x</w:t>
      </w:r>
      <w:proofErr w:type="spellEnd"/>
      <w:r w:rsidRPr="005E7560">
        <w:rPr>
          <w:rFonts w:ascii="Arial" w:hAnsi="Arial" w:cs="Arial"/>
          <w:bCs/>
          <w:color w:val="auto"/>
        </w:rPr>
        <w:t xml:space="preserve"> za půl roku atd. De</w:t>
      </w:r>
      <w:r w:rsidR="00E2258A">
        <w:rPr>
          <w:rFonts w:ascii="Arial" w:hAnsi="Arial" w:cs="Arial"/>
          <w:bCs/>
          <w:color w:val="auto"/>
        </w:rPr>
        <w:t xml:space="preserve"> </w:t>
      </w:r>
      <w:r w:rsidRPr="005E7560">
        <w:rPr>
          <w:rFonts w:ascii="Arial" w:hAnsi="Arial" w:cs="Arial"/>
          <w:bCs/>
          <w:color w:val="auto"/>
        </w:rPr>
        <w:t>facto bychom se jako dodavatel díky této běžné praxi dostali do rizika plateb za neplnění standardu, ač konáme podle písemného přání zákazníka.</w:t>
      </w:r>
    </w:p>
    <w:p w:rsidR="005E7560" w:rsidRPr="005E7560" w:rsidRDefault="00C11837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Dále je třeba si </w:t>
      </w:r>
      <w:r w:rsidR="005E7560" w:rsidRPr="00E2258A">
        <w:rPr>
          <w:rFonts w:ascii="Arial" w:hAnsi="Arial" w:cs="Arial"/>
          <w:bCs/>
          <w:color w:val="auto"/>
        </w:rPr>
        <w:t>uvědomit, že vyúčtování může být zasíláno elektronicky v textové podobě např. na zákaznický portál. Daňové předpisy nevyžadují podpis daňového dokladu. Naopak písemnost podle občanského práva by měla být podepsána.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 lhůtě na reklamaci v § 23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C11837" w:rsidRDefault="005E7560" w:rsidP="006B77C4">
      <w:pPr>
        <w:pStyle w:val="Default"/>
        <w:spacing w:after="60"/>
        <w:ind w:left="567"/>
        <w:jc w:val="both"/>
        <w:rPr>
          <w:rFonts w:ascii="Arial" w:hAnsi="Arial" w:cs="Arial"/>
          <w:iCs/>
          <w:color w:val="auto"/>
        </w:rPr>
      </w:pPr>
      <w:r w:rsidRPr="00C11837">
        <w:rPr>
          <w:rFonts w:ascii="Arial" w:hAnsi="Arial" w:cs="Arial"/>
          <w:iCs/>
          <w:color w:val="auto"/>
        </w:rPr>
        <w:t>Navrhujeme § 23 odst. 1 písm. a) upravit následovně: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>(1) Standardem lhůty pro vyřízení reklamace vyúčtování dodávky elektřiny je</w:t>
      </w:r>
    </w:p>
    <w:p w:rsid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 xml:space="preserve">a) zaslání písemného vyřízení reklamace zákazníka na vyúčtování dodávky elektřiny nebo na nevrácení zaplacených přeplatků a to do 15 dnů ode dne doručení reklamace </w:t>
      </w:r>
      <w:r w:rsidRPr="005E7560">
        <w:rPr>
          <w:rFonts w:ascii="Arial" w:hAnsi="Arial" w:cs="Arial"/>
          <w:b/>
          <w:color w:val="auto"/>
        </w:rPr>
        <w:t>nebo do 30 dnů v případě složitějších případů reklamace, přičemž v daném případě musí dodavatel do 15 dnů informovat zákazníka o prodloužení dané lhůty</w:t>
      </w:r>
      <w:r w:rsidR="00C11837">
        <w:rPr>
          <w:rFonts w:ascii="Arial" w:hAnsi="Arial" w:cs="Arial"/>
          <w:b/>
          <w:color w:val="auto"/>
        </w:rPr>
        <w:t>,</w:t>
      </w:r>
      <w:r w:rsidRPr="005E7560">
        <w:rPr>
          <w:rFonts w:ascii="Arial" w:hAnsi="Arial" w:cs="Arial"/>
          <w:bCs/>
          <w:color w:val="auto"/>
        </w:rPr>
        <w:t xml:space="preserve"> a</w:t>
      </w:r>
    </w:p>
    <w:p w:rsidR="00C11837" w:rsidRPr="005E7560" w:rsidRDefault="00C11837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</w:p>
    <w:p w:rsidR="005E7560" w:rsidRPr="005E7560" w:rsidRDefault="005E7560" w:rsidP="00E14F38">
      <w:pPr>
        <w:pStyle w:val="Default"/>
        <w:keepNext/>
        <w:ind w:left="567"/>
        <w:jc w:val="both"/>
        <w:rPr>
          <w:rFonts w:ascii="Arial" w:hAnsi="Arial" w:cs="Arial"/>
          <w:b/>
          <w:color w:val="FF0000"/>
          <w:u w:val="single"/>
        </w:rPr>
      </w:pPr>
      <w:r w:rsidRPr="005E7560">
        <w:rPr>
          <w:rFonts w:ascii="Arial" w:hAnsi="Arial" w:cs="Arial"/>
          <w:b/>
          <w:color w:val="FF0000"/>
          <w:u w:val="single"/>
        </w:rPr>
        <w:lastRenderedPageBreak/>
        <w:t>Variantně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C11837" w:rsidRDefault="005E7560" w:rsidP="006B77C4">
      <w:pPr>
        <w:pStyle w:val="Default"/>
        <w:spacing w:after="60"/>
        <w:ind w:left="567"/>
        <w:jc w:val="both"/>
        <w:rPr>
          <w:rFonts w:ascii="Arial" w:hAnsi="Arial" w:cs="Arial"/>
          <w:iCs/>
          <w:color w:val="auto"/>
        </w:rPr>
      </w:pPr>
      <w:r w:rsidRPr="00C11837">
        <w:rPr>
          <w:rFonts w:ascii="Arial" w:hAnsi="Arial" w:cs="Arial"/>
          <w:iCs/>
          <w:color w:val="auto"/>
        </w:rPr>
        <w:t>Navrhujeme § 23 odst. 1 písm. a) upravit následovně: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>(1) Standardem lhůty pro vyřízení reklamace v</w:t>
      </w:r>
      <w:r w:rsidR="00C11837">
        <w:rPr>
          <w:rFonts w:ascii="Arial" w:hAnsi="Arial" w:cs="Arial"/>
          <w:bCs/>
          <w:color w:val="auto"/>
        </w:rPr>
        <w:t>yúčtování dodávky elektřiny je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 xml:space="preserve">a) zaslání písemného vyřízení reklamace zákazníka na vyúčtování dodávky elektřiny nebo na nevrácení zaplacených přeplatků, a to do </w:t>
      </w:r>
      <w:r w:rsidRPr="005E7560">
        <w:rPr>
          <w:rFonts w:ascii="Arial" w:hAnsi="Arial" w:cs="Arial"/>
          <w:bCs/>
          <w:strike/>
          <w:color w:val="auto"/>
        </w:rPr>
        <w:t>15</w:t>
      </w:r>
      <w:r w:rsidRPr="005E7560">
        <w:rPr>
          <w:rFonts w:ascii="Arial" w:hAnsi="Arial" w:cs="Arial"/>
          <w:bCs/>
          <w:color w:val="auto"/>
        </w:rPr>
        <w:t xml:space="preserve"> </w:t>
      </w:r>
      <w:r w:rsidRPr="005E7560">
        <w:rPr>
          <w:rFonts w:ascii="Arial" w:hAnsi="Arial" w:cs="Arial"/>
          <w:b/>
          <w:color w:val="auto"/>
        </w:rPr>
        <w:t>30</w:t>
      </w:r>
      <w:r w:rsidRPr="005E7560">
        <w:rPr>
          <w:rFonts w:ascii="Arial" w:hAnsi="Arial" w:cs="Arial"/>
          <w:bCs/>
          <w:color w:val="auto"/>
        </w:rPr>
        <w:t xml:space="preserve"> dnů ode dne doručení reklamace, </w:t>
      </w:r>
      <w:r w:rsidR="00C11837">
        <w:rPr>
          <w:rFonts w:ascii="Arial" w:hAnsi="Arial" w:cs="Arial"/>
          <w:bCs/>
          <w:color w:val="auto"/>
        </w:rPr>
        <w:t>a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5E7560">
        <w:rPr>
          <w:rFonts w:ascii="Arial" w:hAnsi="Arial" w:cs="Arial"/>
          <w:color w:val="auto"/>
        </w:rPr>
        <w:t>Doposud byla na opravu faktur běžná praxe ve lhůtě 30 dnů od přijetí reklamace bez ohledu na datum posouzení ne/oprávněnosti. Aby obchodník předešel nedodržování standardu, musela by být přijata významná systémová a personální opatření spojená s nemalými náklady</w:t>
      </w:r>
      <w:r w:rsidR="00C11837">
        <w:rPr>
          <w:rFonts w:ascii="Arial" w:hAnsi="Arial" w:cs="Arial"/>
          <w:color w:val="auto"/>
        </w:rPr>
        <w:t>.</w:t>
      </w:r>
    </w:p>
    <w:p w:rsidR="005E7560" w:rsidRPr="00C11837" w:rsidRDefault="00C11837" w:rsidP="006B77C4">
      <w:pPr>
        <w:pStyle w:val="Default"/>
        <w:ind w:lef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Ideálním stavem by bylo, </w:t>
      </w:r>
      <w:r w:rsidR="005E7560" w:rsidRPr="00C11837">
        <w:rPr>
          <w:rFonts w:ascii="Arial" w:hAnsi="Arial" w:cs="Arial"/>
          <w:color w:val="auto"/>
        </w:rPr>
        <w:t>aby bylo vyhláškou explicitně umožněno si se zákazníkem dohodnout ve smlouvě nevracení přeplatků/nedoplatků do bagatelní výše 200,- Kč (obdobný princip obsahoval i etický kodex ERÚ). Vzhledem k tomu, že transakční náklady jsou neúměrné vysoké při takto vzniklém přeplatku/nedoplatku.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>Připomínka ke lhůtě v § 24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6B77C4" w:rsidRPr="00C11837" w:rsidRDefault="006B77C4" w:rsidP="006B77C4">
      <w:pPr>
        <w:pStyle w:val="Default"/>
        <w:spacing w:after="60"/>
        <w:ind w:left="567"/>
        <w:jc w:val="both"/>
        <w:rPr>
          <w:rFonts w:ascii="Arial" w:hAnsi="Arial" w:cs="Arial"/>
          <w:iCs/>
          <w:color w:val="auto"/>
        </w:rPr>
      </w:pPr>
      <w:r w:rsidRPr="00C11837">
        <w:rPr>
          <w:rFonts w:ascii="Arial" w:hAnsi="Arial" w:cs="Arial"/>
          <w:iCs/>
          <w:color w:val="auto"/>
        </w:rPr>
        <w:t>Navrhujeme § 2</w:t>
      </w:r>
      <w:r>
        <w:rPr>
          <w:rFonts w:ascii="Arial" w:hAnsi="Arial" w:cs="Arial"/>
          <w:iCs/>
          <w:color w:val="auto"/>
        </w:rPr>
        <w:t>4</w:t>
      </w:r>
      <w:r w:rsidRPr="00C11837">
        <w:rPr>
          <w:rFonts w:ascii="Arial" w:hAnsi="Arial" w:cs="Arial"/>
          <w:iCs/>
          <w:color w:val="auto"/>
        </w:rPr>
        <w:t xml:space="preserve"> odst. 1 upravit následovně:</w:t>
      </w:r>
    </w:p>
    <w:p w:rsidR="006B77C4" w:rsidRDefault="006B77C4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B77C4">
        <w:rPr>
          <w:rFonts w:ascii="Arial" w:hAnsi="Arial" w:cs="Arial"/>
          <w:sz w:val="24"/>
          <w:szCs w:val="24"/>
        </w:rPr>
        <w:t xml:space="preserve">(1) Standardem lhůty pro předání požadavku zákazníka pro změnu distribuční sazby provozovateli distribuční soustavy je předání požadavku zákazníka dodavatelem sdružené služby provozovateli distribuční soustavy ve lhůtě do </w:t>
      </w:r>
      <w:r w:rsidRPr="006B77C4">
        <w:rPr>
          <w:rFonts w:ascii="Arial" w:hAnsi="Arial" w:cs="Arial"/>
          <w:strike/>
          <w:sz w:val="24"/>
          <w:szCs w:val="24"/>
        </w:rPr>
        <w:t>2</w:t>
      </w:r>
      <w:r w:rsidRPr="006B77C4">
        <w:rPr>
          <w:rFonts w:ascii="Arial" w:hAnsi="Arial" w:cs="Arial"/>
          <w:sz w:val="24"/>
          <w:szCs w:val="24"/>
        </w:rPr>
        <w:t xml:space="preserve"> </w:t>
      </w:r>
      <w:r w:rsidRPr="006B77C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6B77C4">
        <w:rPr>
          <w:rFonts w:ascii="Arial" w:hAnsi="Arial" w:cs="Arial"/>
          <w:sz w:val="24"/>
          <w:szCs w:val="24"/>
        </w:rPr>
        <w:t>pracovních dnů od obdržení písemného požadavku zákazníka</w:t>
      </w:r>
      <w:r w:rsidRPr="006B77C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který je v souladu s pravidly a </w:t>
      </w:r>
      <w:r w:rsidRPr="006B77C4">
        <w:rPr>
          <w:rFonts w:ascii="Arial" w:hAnsi="Arial" w:cs="Arial"/>
          <w:b/>
          <w:sz w:val="24"/>
          <w:szCs w:val="24"/>
        </w:rPr>
        <w:t>požadavky příslušného provozovatele distribuční soustavy</w:t>
      </w:r>
      <w:r w:rsidRPr="006B77C4">
        <w:rPr>
          <w:rFonts w:ascii="Arial" w:hAnsi="Arial" w:cs="Arial"/>
          <w:sz w:val="24"/>
          <w:szCs w:val="24"/>
        </w:rPr>
        <w:t>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>Dodavatel musí být schopen nastavit si takové procesy, které bude schopen sám dodržet za jakékoliv situace, a to bez ohledu na formu žádosti (elektronická, doručená poštou apod.), tak bez ohledu na např. státní svátky apod.</w:t>
      </w:r>
    </w:p>
    <w:p w:rsidR="005E7560" w:rsidRPr="006B77C4" w:rsidRDefault="006B77C4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Důvodem pro doplnění ustanovení je </w:t>
      </w:r>
      <w:r w:rsidR="005E7560" w:rsidRPr="006B77C4">
        <w:rPr>
          <w:rFonts w:ascii="Arial" w:hAnsi="Arial" w:cs="Arial"/>
          <w:sz w:val="24"/>
          <w:szCs w:val="24"/>
        </w:rPr>
        <w:t>skutečnost, že některé požadavky zákazníka nemají odpovídající náležitosti pro řádné posouzení – nelze je ani v dané podobě předat na provozovatele.</w:t>
      </w:r>
    </w:p>
    <w:p w:rsidR="005E7560" w:rsidRPr="006B77C4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B77C4">
        <w:rPr>
          <w:rFonts w:ascii="Arial" w:hAnsi="Arial" w:cs="Arial"/>
          <w:sz w:val="24"/>
          <w:szCs w:val="24"/>
        </w:rPr>
        <w:t>Obáváme se analogického posouzení žádostí a návrhů na zahájení řízení podle procesních předpisů, které i přes vady řízení zahajují a mají vliv na běh lhůt.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t xml:space="preserve">Připomínka k § 26 odst. 1 </w:t>
      </w:r>
      <w:r w:rsidR="00662F89">
        <w:rPr>
          <w:rFonts w:ascii="Arial" w:hAnsi="Arial" w:cs="Arial"/>
          <w:b/>
          <w:color w:val="auto"/>
          <w:u w:val="single"/>
        </w:rPr>
        <w:t xml:space="preserve">písm. </w:t>
      </w:r>
      <w:r w:rsidRPr="005E7560">
        <w:rPr>
          <w:rFonts w:ascii="Arial" w:hAnsi="Arial" w:cs="Arial"/>
          <w:b/>
          <w:color w:val="auto"/>
          <w:u w:val="single"/>
        </w:rPr>
        <w:t>c) a příloze č. 8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>Navrhujeme § 26 odst. 1 písm. c) a přílohu 8 vypustit.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5E7560" w:rsidRDefault="005E7560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E7560">
        <w:rPr>
          <w:rFonts w:ascii="Arial" w:hAnsi="Arial" w:cs="Arial"/>
          <w:sz w:val="24"/>
          <w:szCs w:val="24"/>
        </w:rPr>
        <w:t xml:space="preserve">Jedná se nepřiměřenou administrativní zátěž pro dodavatele a distributory, ERÚ podle § 17 odst. 7 písm. s) </w:t>
      </w:r>
      <w:proofErr w:type="spellStart"/>
      <w:r w:rsidRPr="005E7560">
        <w:rPr>
          <w:rFonts w:ascii="Arial" w:hAnsi="Arial" w:cs="Arial"/>
          <w:sz w:val="24"/>
          <w:szCs w:val="24"/>
        </w:rPr>
        <w:t>EZ</w:t>
      </w:r>
      <w:proofErr w:type="spellEnd"/>
      <w:r w:rsidRPr="005E7560">
        <w:rPr>
          <w:rFonts w:ascii="Arial" w:hAnsi="Arial" w:cs="Arial"/>
          <w:sz w:val="24"/>
          <w:szCs w:val="24"/>
        </w:rPr>
        <w:t xml:space="preserve"> </w:t>
      </w:r>
      <w:r w:rsidRPr="005E7560">
        <w:rPr>
          <w:rFonts w:ascii="Arial" w:hAnsi="Arial" w:cs="Arial"/>
          <w:i/>
          <w:iCs/>
          <w:sz w:val="24"/>
          <w:szCs w:val="24"/>
        </w:rPr>
        <w:t xml:space="preserve">monitoruje a vyhodnocuje dodržování kvality dodávek a služeb v </w:t>
      </w:r>
      <w:proofErr w:type="spellStart"/>
      <w:r w:rsidRPr="005E7560">
        <w:rPr>
          <w:rFonts w:ascii="Arial" w:hAnsi="Arial" w:cs="Arial"/>
          <w:i/>
          <w:iCs/>
          <w:sz w:val="24"/>
          <w:szCs w:val="24"/>
        </w:rPr>
        <w:t>elektroenergetice</w:t>
      </w:r>
      <w:proofErr w:type="spellEnd"/>
      <w:r w:rsidRPr="005E7560">
        <w:rPr>
          <w:rFonts w:ascii="Arial" w:hAnsi="Arial" w:cs="Arial"/>
          <w:i/>
          <w:iCs/>
          <w:sz w:val="24"/>
          <w:szCs w:val="24"/>
        </w:rPr>
        <w:t xml:space="preserve"> a plynárenství, </w:t>
      </w:r>
      <w:r w:rsidRPr="005E7560">
        <w:rPr>
          <w:rFonts w:ascii="Arial" w:hAnsi="Arial" w:cs="Arial"/>
          <w:sz w:val="24"/>
          <w:szCs w:val="24"/>
        </w:rPr>
        <w:t>pravomocí ERÚ není hypotetické monitorování vyplácení náhrad za standardy. Navíc, pokud chce ERÚ tímto přiblížit vyhlášku zákazníků</w:t>
      </w:r>
      <w:r w:rsidR="00662F89">
        <w:rPr>
          <w:rFonts w:ascii="Arial" w:hAnsi="Arial" w:cs="Arial"/>
          <w:sz w:val="24"/>
          <w:szCs w:val="24"/>
        </w:rPr>
        <w:t>m</w:t>
      </w:r>
      <w:r w:rsidRPr="005E7560">
        <w:rPr>
          <w:rFonts w:ascii="Arial" w:hAnsi="Arial" w:cs="Arial"/>
          <w:sz w:val="24"/>
          <w:szCs w:val="24"/>
        </w:rPr>
        <w:t>, aby ji více využívali, tak ke vzdělávání zákazníku má jiné prostředky než nadbytečné zvýšení administrativn</w:t>
      </w:r>
      <w:r w:rsidR="00662F89">
        <w:rPr>
          <w:rFonts w:ascii="Arial" w:hAnsi="Arial" w:cs="Arial"/>
          <w:sz w:val="24"/>
          <w:szCs w:val="24"/>
        </w:rPr>
        <w:t>í zátěže pro soukromé subjekty.</w:t>
      </w:r>
    </w:p>
    <w:p w:rsidR="005E7560" w:rsidRPr="005E7560" w:rsidRDefault="005E7560" w:rsidP="006B77C4">
      <w:pPr>
        <w:pStyle w:val="Default"/>
        <w:keepNext/>
        <w:numPr>
          <w:ilvl w:val="0"/>
          <w:numId w:val="10"/>
        </w:numPr>
        <w:tabs>
          <w:tab w:val="left" w:pos="567"/>
        </w:tabs>
        <w:spacing w:before="240" w:after="120"/>
        <w:ind w:left="567" w:hanging="567"/>
        <w:jc w:val="both"/>
        <w:rPr>
          <w:rFonts w:ascii="Arial" w:hAnsi="Arial" w:cs="Arial"/>
          <w:b/>
          <w:color w:val="auto"/>
          <w:u w:val="single"/>
        </w:rPr>
      </w:pPr>
      <w:r w:rsidRPr="005E7560">
        <w:rPr>
          <w:rFonts w:ascii="Arial" w:hAnsi="Arial" w:cs="Arial"/>
          <w:b/>
          <w:color w:val="auto"/>
          <w:u w:val="single"/>
        </w:rPr>
        <w:lastRenderedPageBreak/>
        <w:t>Připomínka k povinnosti dodavatele podle § 26 odst. 5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Text návrhu: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5E7560">
        <w:rPr>
          <w:rFonts w:ascii="Arial" w:hAnsi="Arial" w:cs="Arial"/>
          <w:bCs/>
          <w:color w:val="auto"/>
        </w:rPr>
        <w:t>Navrhujeme vypustit následující část § 26 odst</w:t>
      </w:r>
      <w:r w:rsidR="00662F89">
        <w:rPr>
          <w:rFonts w:ascii="Arial" w:hAnsi="Arial" w:cs="Arial"/>
          <w:bCs/>
          <w:color w:val="auto"/>
        </w:rPr>
        <w:t>.</w:t>
      </w:r>
      <w:r w:rsidRPr="005E7560">
        <w:rPr>
          <w:rFonts w:ascii="Arial" w:hAnsi="Arial" w:cs="Arial"/>
          <w:bCs/>
          <w:color w:val="auto"/>
        </w:rPr>
        <w:t xml:space="preserve"> 5 a související přílohy:</w:t>
      </w:r>
    </w:p>
    <w:p w:rsidR="005E7560" w:rsidRPr="005E7560" w:rsidRDefault="005E7560" w:rsidP="006B77C4">
      <w:pPr>
        <w:pStyle w:val="Default"/>
        <w:ind w:left="567"/>
        <w:jc w:val="both"/>
        <w:rPr>
          <w:rFonts w:ascii="Arial" w:hAnsi="Arial" w:cs="Arial"/>
          <w:bCs/>
          <w:i/>
          <w:iCs/>
          <w:color w:val="auto"/>
        </w:rPr>
      </w:pPr>
      <w:r w:rsidRPr="005E7560">
        <w:rPr>
          <w:rFonts w:ascii="Arial" w:hAnsi="Arial" w:cs="Arial"/>
          <w:i/>
          <w:iCs/>
        </w:rPr>
        <w:t>„Dodavatel nebo dodavatel sdružené slu</w:t>
      </w:r>
      <w:r w:rsidR="00662F89">
        <w:rPr>
          <w:rFonts w:ascii="Arial" w:hAnsi="Arial" w:cs="Arial"/>
          <w:i/>
          <w:iCs/>
        </w:rPr>
        <w:t>žby, který dodává do více než 1 </w:t>
      </w:r>
      <w:r w:rsidRPr="005E7560">
        <w:rPr>
          <w:rFonts w:ascii="Arial" w:hAnsi="Arial" w:cs="Arial"/>
          <w:i/>
          <w:iCs/>
        </w:rPr>
        <w:t>000 odběrných míst zákazníků nebo v průběhu roku takového počtu dosáhl, zpracovává měsíční zprávu o dodržování standardů dodávek elektřiny ve formě výkazů, jejichž vzory jsou uvedeny v přílohách č. 27 až 30 k této vyhlášce.“</w:t>
      </w:r>
    </w:p>
    <w:p w:rsidR="005E7560" w:rsidRPr="005E7560" w:rsidRDefault="005E7560" w:rsidP="006B77C4">
      <w:pPr>
        <w:pStyle w:val="Default"/>
        <w:keepNext/>
        <w:spacing w:before="120" w:after="60"/>
        <w:ind w:left="567"/>
        <w:jc w:val="both"/>
        <w:rPr>
          <w:rFonts w:ascii="Arial" w:hAnsi="Arial" w:cs="Arial"/>
          <w:b/>
          <w:color w:val="auto"/>
        </w:rPr>
      </w:pPr>
      <w:r w:rsidRPr="005E7560">
        <w:rPr>
          <w:rFonts w:ascii="Arial" w:hAnsi="Arial" w:cs="Arial"/>
          <w:b/>
          <w:color w:val="auto"/>
        </w:rPr>
        <w:t>Odůvodnění:</w:t>
      </w:r>
    </w:p>
    <w:p w:rsidR="005E7560" w:rsidRPr="00662F89" w:rsidRDefault="00662F89" w:rsidP="006B77C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Měsíční reporting představuje n</w:t>
      </w:r>
      <w:r w:rsidR="005E7560" w:rsidRPr="005E7560">
        <w:rPr>
          <w:rFonts w:ascii="Arial" w:hAnsi="Arial" w:cs="Arial"/>
          <w:sz w:val="24"/>
          <w:szCs w:val="24"/>
        </w:rPr>
        <w:t xml:space="preserve">epřiměřenou administrativní </w:t>
      </w:r>
      <w:r>
        <w:rPr>
          <w:rFonts w:ascii="Arial" w:hAnsi="Arial" w:cs="Arial"/>
          <w:sz w:val="24"/>
          <w:szCs w:val="24"/>
        </w:rPr>
        <w:t xml:space="preserve">a neúměrnou byrokratickou </w:t>
      </w:r>
      <w:r w:rsidR="005E7560" w:rsidRPr="005E7560">
        <w:rPr>
          <w:rFonts w:ascii="Arial" w:hAnsi="Arial" w:cs="Arial"/>
          <w:sz w:val="24"/>
          <w:szCs w:val="24"/>
        </w:rPr>
        <w:t>zátěž pro dodavatele</w:t>
      </w:r>
      <w:r>
        <w:rPr>
          <w:rFonts w:ascii="Arial" w:hAnsi="Arial" w:cs="Arial"/>
          <w:sz w:val="24"/>
          <w:szCs w:val="24"/>
        </w:rPr>
        <w:t>. P</w:t>
      </w:r>
      <w:r w:rsidR="005E7560" w:rsidRPr="005E7560">
        <w:rPr>
          <w:rFonts w:ascii="Arial" w:hAnsi="Arial" w:cs="Arial"/>
          <w:sz w:val="24"/>
          <w:szCs w:val="24"/>
        </w:rPr>
        <w:t xml:space="preserve">ro pravomoci ERÚ podle § 17 odst. 7 písm. s) </w:t>
      </w:r>
      <w:proofErr w:type="spellStart"/>
      <w:r w:rsidR="005E7560" w:rsidRPr="005E7560">
        <w:rPr>
          <w:rFonts w:ascii="Arial" w:hAnsi="Arial" w:cs="Arial"/>
          <w:sz w:val="24"/>
          <w:szCs w:val="24"/>
        </w:rPr>
        <w:t>EZ</w:t>
      </w:r>
      <w:proofErr w:type="spellEnd"/>
      <w:r w:rsidR="005E7560" w:rsidRPr="005E7560">
        <w:rPr>
          <w:rFonts w:ascii="Arial" w:hAnsi="Arial" w:cs="Arial"/>
          <w:sz w:val="24"/>
          <w:szCs w:val="24"/>
        </w:rPr>
        <w:t xml:space="preserve"> zcela postačuje, aby byla zachována souhrnná informace v ročním výkazu, který se zveřejňuje a představuje</w:t>
      </w:r>
      <w:r>
        <w:rPr>
          <w:rFonts w:ascii="Arial" w:hAnsi="Arial" w:cs="Arial"/>
          <w:sz w:val="24"/>
          <w:szCs w:val="24"/>
        </w:rPr>
        <w:t xml:space="preserve"> celkový obraz o stavu na trhu.</w:t>
      </w:r>
      <w:r w:rsidRPr="00662F89">
        <w:rPr>
          <w:rFonts w:ascii="Arial" w:hAnsi="Arial" w:cs="Arial"/>
          <w:sz w:val="24"/>
          <w:szCs w:val="24"/>
        </w:rPr>
        <w:t xml:space="preserve"> Roční frekvence je dostatečná.</w:t>
      </w:r>
      <w:r>
        <w:rPr>
          <w:rFonts w:ascii="Arial" w:hAnsi="Arial" w:cs="Arial"/>
          <w:sz w:val="24"/>
          <w:szCs w:val="24"/>
        </w:rPr>
        <w:t xml:space="preserve"> </w:t>
      </w:r>
      <w:r w:rsidR="005E7560" w:rsidRPr="00662F89">
        <w:rPr>
          <w:rFonts w:ascii="Arial" w:hAnsi="Arial" w:cs="Arial"/>
          <w:sz w:val="24"/>
          <w:szCs w:val="24"/>
        </w:rPr>
        <w:t xml:space="preserve">ERÚ má </w:t>
      </w:r>
      <w:r>
        <w:rPr>
          <w:rFonts w:ascii="Arial" w:hAnsi="Arial" w:cs="Arial"/>
          <w:sz w:val="24"/>
          <w:szCs w:val="24"/>
        </w:rPr>
        <w:t xml:space="preserve">navíc </w:t>
      </w:r>
      <w:r w:rsidR="005E7560" w:rsidRPr="00662F89">
        <w:rPr>
          <w:rFonts w:ascii="Arial" w:hAnsi="Arial" w:cs="Arial"/>
          <w:sz w:val="24"/>
          <w:szCs w:val="24"/>
        </w:rPr>
        <w:t>právo si kdykoli vyžádat potřebné informace nebo v rámci dozoru provést kontrolu.</w:t>
      </w:r>
      <w:r>
        <w:rPr>
          <w:rFonts w:ascii="Arial" w:hAnsi="Arial" w:cs="Arial"/>
          <w:sz w:val="24"/>
          <w:szCs w:val="24"/>
        </w:rPr>
        <w:t xml:space="preserve"> Nelz</w:t>
      </w:r>
      <w:r w:rsidR="005E7560" w:rsidRPr="00662F89">
        <w:rPr>
          <w:rFonts w:ascii="Arial" w:hAnsi="Arial" w:cs="Arial"/>
          <w:sz w:val="24"/>
          <w:szCs w:val="24"/>
        </w:rPr>
        <w:t>e přenášet povinnost, kterou má ze zákona ERÚ tímto zp</w:t>
      </w:r>
      <w:bookmarkStart w:id="0" w:name="_GoBack"/>
      <w:bookmarkEnd w:id="0"/>
      <w:r w:rsidR="005E7560" w:rsidRPr="00662F89">
        <w:rPr>
          <w:rFonts w:ascii="Arial" w:hAnsi="Arial" w:cs="Arial"/>
          <w:sz w:val="24"/>
          <w:szCs w:val="24"/>
        </w:rPr>
        <w:t>ůsobem na držitele licence.</w:t>
      </w:r>
    </w:p>
    <w:p w:rsidR="00914EA3" w:rsidRPr="005E7560" w:rsidRDefault="00914EA3" w:rsidP="006B77C4">
      <w:pPr>
        <w:pStyle w:val="Default"/>
        <w:jc w:val="both"/>
        <w:rPr>
          <w:rFonts w:ascii="Arial" w:hAnsi="Arial" w:cs="Arial"/>
        </w:rPr>
      </w:pPr>
    </w:p>
    <w:p w:rsidR="00914EA3" w:rsidRPr="005E7560" w:rsidRDefault="00914EA3" w:rsidP="006B77C4">
      <w:pPr>
        <w:pStyle w:val="Default"/>
        <w:jc w:val="both"/>
        <w:rPr>
          <w:rFonts w:ascii="Arial" w:hAnsi="Arial" w:cs="Arial"/>
        </w:rPr>
      </w:pPr>
    </w:p>
    <w:p w:rsidR="00914EA3" w:rsidRPr="005E7560" w:rsidRDefault="00914EA3" w:rsidP="006B77C4">
      <w:pPr>
        <w:pStyle w:val="Default"/>
        <w:jc w:val="both"/>
        <w:rPr>
          <w:rFonts w:ascii="Arial" w:hAnsi="Arial" w:cs="Arial"/>
        </w:rPr>
      </w:pPr>
    </w:p>
    <w:p w:rsidR="00914EA3" w:rsidRPr="005E7560" w:rsidRDefault="00914EA3" w:rsidP="006B77C4">
      <w:pPr>
        <w:pStyle w:val="Default"/>
        <w:jc w:val="both"/>
        <w:rPr>
          <w:rFonts w:ascii="Arial" w:hAnsi="Arial" w:cs="Arial"/>
        </w:rPr>
      </w:pPr>
    </w:p>
    <w:p w:rsidR="006B256B" w:rsidRPr="005E7560" w:rsidRDefault="006B256B" w:rsidP="006B77C4">
      <w:pPr>
        <w:pStyle w:val="Default"/>
        <w:jc w:val="both"/>
        <w:rPr>
          <w:rFonts w:ascii="Arial" w:hAnsi="Arial" w:cs="Arial"/>
        </w:rPr>
      </w:pPr>
    </w:p>
    <w:p w:rsidR="009E52A5" w:rsidRPr="005E7560" w:rsidRDefault="009E52A5" w:rsidP="006B77C4">
      <w:pPr>
        <w:pStyle w:val="Default"/>
        <w:jc w:val="both"/>
        <w:rPr>
          <w:rFonts w:ascii="Arial" w:hAnsi="Arial" w:cs="Arial"/>
        </w:rPr>
      </w:pPr>
    </w:p>
    <w:p w:rsidR="009E52A5" w:rsidRPr="005E7560" w:rsidRDefault="009E52A5" w:rsidP="006B77C4">
      <w:pPr>
        <w:pStyle w:val="Default"/>
        <w:jc w:val="both"/>
        <w:rPr>
          <w:rFonts w:ascii="Arial" w:hAnsi="Arial" w:cs="Arial"/>
        </w:rPr>
      </w:pPr>
    </w:p>
    <w:p w:rsidR="009E52A5" w:rsidRPr="005E7560" w:rsidRDefault="009E52A5" w:rsidP="006B77C4">
      <w:pPr>
        <w:pStyle w:val="Default"/>
        <w:jc w:val="both"/>
        <w:rPr>
          <w:rFonts w:ascii="Arial" w:hAnsi="Arial" w:cs="Arial"/>
        </w:rPr>
      </w:pPr>
    </w:p>
    <w:p w:rsidR="00590B02" w:rsidRPr="005E7560" w:rsidRDefault="00590B02" w:rsidP="006B77C4">
      <w:pPr>
        <w:pStyle w:val="Default"/>
        <w:jc w:val="both"/>
        <w:rPr>
          <w:rFonts w:ascii="Arial" w:hAnsi="Arial" w:cs="Arial"/>
        </w:rPr>
      </w:pPr>
      <w:r w:rsidRPr="005E7560">
        <w:rPr>
          <w:rFonts w:ascii="Arial" w:hAnsi="Arial" w:cs="Arial"/>
        </w:rPr>
        <w:t>Praha</w:t>
      </w:r>
      <w:r w:rsidR="006B256B" w:rsidRPr="005E7560">
        <w:rPr>
          <w:rFonts w:ascii="Arial" w:hAnsi="Arial" w:cs="Arial"/>
        </w:rPr>
        <w:t xml:space="preserve"> </w:t>
      </w:r>
      <w:r w:rsidR="00914EA3" w:rsidRPr="005E7560">
        <w:rPr>
          <w:rFonts w:ascii="Arial" w:hAnsi="Arial" w:cs="Arial"/>
        </w:rPr>
        <w:t>9</w:t>
      </w:r>
      <w:r w:rsidRPr="005E7560">
        <w:rPr>
          <w:rFonts w:ascii="Arial" w:hAnsi="Arial" w:cs="Arial"/>
        </w:rPr>
        <w:t xml:space="preserve">. </w:t>
      </w:r>
      <w:r w:rsidR="00E14F38">
        <w:rPr>
          <w:rFonts w:ascii="Arial" w:hAnsi="Arial" w:cs="Arial"/>
        </w:rPr>
        <w:t>10.</w:t>
      </w:r>
      <w:r w:rsidR="00914EA3" w:rsidRPr="005E7560">
        <w:rPr>
          <w:rFonts w:ascii="Arial" w:hAnsi="Arial" w:cs="Arial"/>
        </w:rPr>
        <w:t xml:space="preserve"> </w:t>
      </w:r>
      <w:r w:rsidRPr="005E7560">
        <w:rPr>
          <w:rFonts w:ascii="Arial" w:hAnsi="Arial" w:cs="Arial"/>
        </w:rPr>
        <w:t>2019</w:t>
      </w:r>
    </w:p>
    <w:p w:rsidR="00D556FC" w:rsidRPr="005E7560" w:rsidRDefault="00D556FC" w:rsidP="006B77C4">
      <w:pPr>
        <w:pStyle w:val="Default"/>
        <w:jc w:val="both"/>
        <w:rPr>
          <w:rFonts w:ascii="Arial" w:hAnsi="Arial" w:cs="Arial"/>
        </w:rPr>
      </w:pPr>
    </w:p>
    <w:sectPr w:rsidR="00D556FC" w:rsidRPr="005E7560" w:rsidSect="005E7560">
      <w:footerReference w:type="default" r:id="rId8"/>
      <w:headerReference w:type="first" r:id="rId9"/>
      <w:footerReference w:type="first" r:id="rId10"/>
      <w:pgSz w:w="11906" w:h="16838" w:code="9"/>
      <w:pgMar w:top="1805" w:right="1133" w:bottom="1134" w:left="1134" w:header="284" w:footer="39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3FE9FE" w16cid:durableId="2059F15A"/>
  <w16cid:commentId w16cid:paraId="1900BCF9" w16cid:durableId="2059F1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F7" w:rsidRDefault="005D1DF7" w:rsidP="00BF2205">
      <w:pPr>
        <w:spacing w:after="0" w:line="240" w:lineRule="auto"/>
      </w:pPr>
      <w:r>
        <w:separator/>
      </w:r>
    </w:p>
  </w:endnote>
  <w:endnote w:type="continuationSeparator" w:id="0">
    <w:p w:rsidR="005D1DF7" w:rsidRDefault="005D1DF7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altName w:val="Alegreya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D5C3F" w:rsidRPr="005D2E45" w:rsidRDefault="00541539" w:rsidP="005D2E45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DD5C3F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E14F38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38" w:rsidRPr="009C2AC1" w:rsidRDefault="00E14F38" w:rsidP="00E14F38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E14F38" w:rsidRPr="009C2AC1" w:rsidRDefault="00E14F38" w:rsidP="00E14F38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E14F38" w:rsidRDefault="00E14F38" w:rsidP="00E14F38">
    <w:pPr>
      <w:pStyle w:val="Zpat"/>
      <w:spacing w:line="276" w:lineRule="auto"/>
      <w:jc w:val="center"/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F7" w:rsidRDefault="005D1DF7" w:rsidP="00BF2205">
      <w:pPr>
        <w:spacing w:after="0" w:line="240" w:lineRule="auto"/>
      </w:pPr>
      <w:r>
        <w:separator/>
      </w:r>
    </w:p>
  </w:footnote>
  <w:footnote w:type="continuationSeparator" w:id="0">
    <w:p w:rsidR="005D1DF7" w:rsidRDefault="005D1DF7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3F" w:rsidRDefault="00DD5C3F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4FB"/>
    <w:multiLevelType w:val="hybridMultilevel"/>
    <w:tmpl w:val="9908383A"/>
    <w:lvl w:ilvl="0" w:tplc="6DC47C0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6028"/>
    <w:multiLevelType w:val="hybridMultilevel"/>
    <w:tmpl w:val="632C26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85E83"/>
    <w:multiLevelType w:val="multilevel"/>
    <w:tmpl w:val="65805812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A081E5C"/>
    <w:multiLevelType w:val="hybridMultilevel"/>
    <w:tmpl w:val="3EFCD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4521"/>
    <w:multiLevelType w:val="hybridMultilevel"/>
    <w:tmpl w:val="6B94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699F"/>
    <w:multiLevelType w:val="hybridMultilevel"/>
    <w:tmpl w:val="835A8BC6"/>
    <w:lvl w:ilvl="0" w:tplc="9886B1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79A4D62"/>
    <w:multiLevelType w:val="hybridMultilevel"/>
    <w:tmpl w:val="096AA14E"/>
    <w:lvl w:ilvl="0" w:tplc="FD30A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D5ED5"/>
    <w:multiLevelType w:val="hybridMultilevel"/>
    <w:tmpl w:val="BCF23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05D3"/>
    <w:multiLevelType w:val="hybridMultilevel"/>
    <w:tmpl w:val="0C6CCA3A"/>
    <w:lvl w:ilvl="0" w:tplc="1DE2E7F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F56AE"/>
    <w:multiLevelType w:val="hybridMultilevel"/>
    <w:tmpl w:val="11765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jgl">
    <w15:presenceInfo w15:providerId="None" w15:userId="Fejg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89"/>
    <w:rsid w:val="00003994"/>
    <w:rsid w:val="00007F68"/>
    <w:rsid w:val="00007FC9"/>
    <w:rsid w:val="00013F18"/>
    <w:rsid w:val="000156A4"/>
    <w:rsid w:val="00030B4B"/>
    <w:rsid w:val="00044D07"/>
    <w:rsid w:val="0006035E"/>
    <w:rsid w:val="00070E53"/>
    <w:rsid w:val="00071B2E"/>
    <w:rsid w:val="00073F59"/>
    <w:rsid w:val="00074A58"/>
    <w:rsid w:val="00075504"/>
    <w:rsid w:val="00085134"/>
    <w:rsid w:val="0009020F"/>
    <w:rsid w:val="00093C1E"/>
    <w:rsid w:val="0009706E"/>
    <w:rsid w:val="000A2F1E"/>
    <w:rsid w:val="000B05C6"/>
    <w:rsid w:val="000B5363"/>
    <w:rsid w:val="000C0A1F"/>
    <w:rsid w:val="000C535F"/>
    <w:rsid w:val="000D243D"/>
    <w:rsid w:val="000E12F0"/>
    <w:rsid w:val="000F3E85"/>
    <w:rsid w:val="000F4E1B"/>
    <w:rsid w:val="00106C8A"/>
    <w:rsid w:val="001144AA"/>
    <w:rsid w:val="00117D55"/>
    <w:rsid w:val="001332F9"/>
    <w:rsid w:val="00134C1F"/>
    <w:rsid w:val="001413E0"/>
    <w:rsid w:val="00150112"/>
    <w:rsid w:val="001522E5"/>
    <w:rsid w:val="001677B5"/>
    <w:rsid w:val="00167965"/>
    <w:rsid w:val="00170C55"/>
    <w:rsid w:val="00176109"/>
    <w:rsid w:val="00180E49"/>
    <w:rsid w:val="001850B0"/>
    <w:rsid w:val="00185118"/>
    <w:rsid w:val="001A7A0C"/>
    <w:rsid w:val="001B5236"/>
    <w:rsid w:val="001B584B"/>
    <w:rsid w:val="001C6699"/>
    <w:rsid w:val="001C791C"/>
    <w:rsid w:val="001D4E59"/>
    <w:rsid w:val="001D6005"/>
    <w:rsid w:val="001E5860"/>
    <w:rsid w:val="001E5A97"/>
    <w:rsid w:val="001F67F8"/>
    <w:rsid w:val="0020399D"/>
    <w:rsid w:val="002165AB"/>
    <w:rsid w:val="00226B19"/>
    <w:rsid w:val="00231A35"/>
    <w:rsid w:val="00246E6A"/>
    <w:rsid w:val="00250186"/>
    <w:rsid w:val="002552AD"/>
    <w:rsid w:val="0026061A"/>
    <w:rsid w:val="00264690"/>
    <w:rsid w:val="00264B96"/>
    <w:rsid w:val="00281F8D"/>
    <w:rsid w:val="0028509D"/>
    <w:rsid w:val="002A14B3"/>
    <w:rsid w:val="002B4A53"/>
    <w:rsid w:val="002C3E4D"/>
    <w:rsid w:val="002C3FFC"/>
    <w:rsid w:val="002E2830"/>
    <w:rsid w:val="002E2CC4"/>
    <w:rsid w:val="002F2096"/>
    <w:rsid w:val="002F6080"/>
    <w:rsid w:val="003015A0"/>
    <w:rsid w:val="00306367"/>
    <w:rsid w:val="00317B26"/>
    <w:rsid w:val="00323B93"/>
    <w:rsid w:val="003327F2"/>
    <w:rsid w:val="00335B60"/>
    <w:rsid w:val="00341E10"/>
    <w:rsid w:val="003444E8"/>
    <w:rsid w:val="00352E5B"/>
    <w:rsid w:val="00353155"/>
    <w:rsid w:val="003700E8"/>
    <w:rsid w:val="00370280"/>
    <w:rsid w:val="0037085F"/>
    <w:rsid w:val="00376EA8"/>
    <w:rsid w:val="00387877"/>
    <w:rsid w:val="003903BE"/>
    <w:rsid w:val="00391CC2"/>
    <w:rsid w:val="00393DFA"/>
    <w:rsid w:val="00395D9E"/>
    <w:rsid w:val="00397890"/>
    <w:rsid w:val="003A20B0"/>
    <w:rsid w:val="003A4DEC"/>
    <w:rsid w:val="003B0D73"/>
    <w:rsid w:val="003C387B"/>
    <w:rsid w:val="003C6197"/>
    <w:rsid w:val="003D03F8"/>
    <w:rsid w:val="003D29A2"/>
    <w:rsid w:val="003D2DD3"/>
    <w:rsid w:val="003D5B23"/>
    <w:rsid w:val="003E41C8"/>
    <w:rsid w:val="003F1F56"/>
    <w:rsid w:val="003F5C50"/>
    <w:rsid w:val="00407AAD"/>
    <w:rsid w:val="00410368"/>
    <w:rsid w:val="00425F0F"/>
    <w:rsid w:val="00430715"/>
    <w:rsid w:val="004324C9"/>
    <w:rsid w:val="00434590"/>
    <w:rsid w:val="00446757"/>
    <w:rsid w:val="00452A7A"/>
    <w:rsid w:val="00453370"/>
    <w:rsid w:val="00453DED"/>
    <w:rsid w:val="00467275"/>
    <w:rsid w:val="00470B4B"/>
    <w:rsid w:val="004713B5"/>
    <w:rsid w:val="004758DA"/>
    <w:rsid w:val="004770A9"/>
    <w:rsid w:val="0049332E"/>
    <w:rsid w:val="00497A5A"/>
    <w:rsid w:val="004A2CED"/>
    <w:rsid w:val="004A72EC"/>
    <w:rsid w:val="004B632F"/>
    <w:rsid w:val="004D24C2"/>
    <w:rsid w:val="004D6BA6"/>
    <w:rsid w:val="004F0FEF"/>
    <w:rsid w:val="004F1F96"/>
    <w:rsid w:val="004F500E"/>
    <w:rsid w:val="004F517C"/>
    <w:rsid w:val="005015C5"/>
    <w:rsid w:val="00506824"/>
    <w:rsid w:val="00507EA7"/>
    <w:rsid w:val="00513661"/>
    <w:rsid w:val="00515263"/>
    <w:rsid w:val="00526E48"/>
    <w:rsid w:val="00541539"/>
    <w:rsid w:val="00552AF4"/>
    <w:rsid w:val="00555B57"/>
    <w:rsid w:val="005565A5"/>
    <w:rsid w:val="00561794"/>
    <w:rsid w:val="00562211"/>
    <w:rsid w:val="00573B8E"/>
    <w:rsid w:val="00576C9B"/>
    <w:rsid w:val="00580AB1"/>
    <w:rsid w:val="00585489"/>
    <w:rsid w:val="00590B02"/>
    <w:rsid w:val="0059361A"/>
    <w:rsid w:val="005967DE"/>
    <w:rsid w:val="00597C27"/>
    <w:rsid w:val="005C1B1C"/>
    <w:rsid w:val="005C3C5A"/>
    <w:rsid w:val="005C439B"/>
    <w:rsid w:val="005C7166"/>
    <w:rsid w:val="005D1DF7"/>
    <w:rsid w:val="005D251C"/>
    <w:rsid w:val="005D2E45"/>
    <w:rsid w:val="005D507B"/>
    <w:rsid w:val="005E7560"/>
    <w:rsid w:val="005F448B"/>
    <w:rsid w:val="0060090C"/>
    <w:rsid w:val="00606420"/>
    <w:rsid w:val="00613BAE"/>
    <w:rsid w:val="0061723C"/>
    <w:rsid w:val="00621567"/>
    <w:rsid w:val="00622087"/>
    <w:rsid w:val="006238D6"/>
    <w:rsid w:val="00637EFC"/>
    <w:rsid w:val="00644361"/>
    <w:rsid w:val="0065087E"/>
    <w:rsid w:val="00653F40"/>
    <w:rsid w:val="006571A9"/>
    <w:rsid w:val="00662015"/>
    <w:rsid w:val="00662F89"/>
    <w:rsid w:val="00663049"/>
    <w:rsid w:val="00667DF1"/>
    <w:rsid w:val="00670C9A"/>
    <w:rsid w:val="00674408"/>
    <w:rsid w:val="006940CC"/>
    <w:rsid w:val="00697B19"/>
    <w:rsid w:val="006B256B"/>
    <w:rsid w:val="006B77C4"/>
    <w:rsid w:val="006D3111"/>
    <w:rsid w:val="006F74EA"/>
    <w:rsid w:val="006F7A52"/>
    <w:rsid w:val="007042B9"/>
    <w:rsid w:val="00706680"/>
    <w:rsid w:val="00707429"/>
    <w:rsid w:val="00713844"/>
    <w:rsid w:val="007211D3"/>
    <w:rsid w:val="00723DE5"/>
    <w:rsid w:val="00743B41"/>
    <w:rsid w:val="00745729"/>
    <w:rsid w:val="00746555"/>
    <w:rsid w:val="00751766"/>
    <w:rsid w:val="00766CD5"/>
    <w:rsid w:val="00766FE3"/>
    <w:rsid w:val="00774D70"/>
    <w:rsid w:val="00776768"/>
    <w:rsid w:val="00785100"/>
    <w:rsid w:val="007928EB"/>
    <w:rsid w:val="00793278"/>
    <w:rsid w:val="007A280E"/>
    <w:rsid w:val="007B5AC6"/>
    <w:rsid w:val="007C5F94"/>
    <w:rsid w:val="007C6E65"/>
    <w:rsid w:val="007D0EDF"/>
    <w:rsid w:val="007D1BD2"/>
    <w:rsid w:val="007D64AB"/>
    <w:rsid w:val="007E0E66"/>
    <w:rsid w:val="007F3A82"/>
    <w:rsid w:val="007F7FA2"/>
    <w:rsid w:val="00802893"/>
    <w:rsid w:val="00804E7A"/>
    <w:rsid w:val="00813081"/>
    <w:rsid w:val="00816061"/>
    <w:rsid w:val="008236F7"/>
    <w:rsid w:val="00823BE0"/>
    <w:rsid w:val="00827D07"/>
    <w:rsid w:val="0083180D"/>
    <w:rsid w:val="0083302A"/>
    <w:rsid w:val="008357DE"/>
    <w:rsid w:val="00837F46"/>
    <w:rsid w:val="00842812"/>
    <w:rsid w:val="00842941"/>
    <w:rsid w:val="00844484"/>
    <w:rsid w:val="0084671C"/>
    <w:rsid w:val="00861E77"/>
    <w:rsid w:val="00871D4D"/>
    <w:rsid w:val="00872308"/>
    <w:rsid w:val="008726B9"/>
    <w:rsid w:val="00875732"/>
    <w:rsid w:val="00881C62"/>
    <w:rsid w:val="008931AF"/>
    <w:rsid w:val="008A20F2"/>
    <w:rsid w:val="008A39C1"/>
    <w:rsid w:val="008A4DA4"/>
    <w:rsid w:val="008A5215"/>
    <w:rsid w:val="008A7EC6"/>
    <w:rsid w:val="008B7479"/>
    <w:rsid w:val="008C1E67"/>
    <w:rsid w:val="008D01D0"/>
    <w:rsid w:val="008D347D"/>
    <w:rsid w:val="008D7B7D"/>
    <w:rsid w:val="008E453A"/>
    <w:rsid w:val="008E5402"/>
    <w:rsid w:val="009140DC"/>
    <w:rsid w:val="00914EA3"/>
    <w:rsid w:val="0091708E"/>
    <w:rsid w:val="00931897"/>
    <w:rsid w:val="00932654"/>
    <w:rsid w:val="00933637"/>
    <w:rsid w:val="00935FC2"/>
    <w:rsid w:val="00937120"/>
    <w:rsid w:val="009434DD"/>
    <w:rsid w:val="00947D2A"/>
    <w:rsid w:val="00955A64"/>
    <w:rsid w:val="00963599"/>
    <w:rsid w:val="00970D8C"/>
    <w:rsid w:val="00972521"/>
    <w:rsid w:val="00993AE4"/>
    <w:rsid w:val="00994322"/>
    <w:rsid w:val="009A02EF"/>
    <w:rsid w:val="009B207A"/>
    <w:rsid w:val="009B267E"/>
    <w:rsid w:val="009B3B0C"/>
    <w:rsid w:val="009B68CA"/>
    <w:rsid w:val="009C4B35"/>
    <w:rsid w:val="009D10DE"/>
    <w:rsid w:val="009D11B6"/>
    <w:rsid w:val="009D1AF0"/>
    <w:rsid w:val="009D44BA"/>
    <w:rsid w:val="009E0D44"/>
    <w:rsid w:val="009E15D4"/>
    <w:rsid w:val="009E52A5"/>
    <w:rsid w:val="009E6402"/>
    <w:rsid w:val="009F3A79"/>
    <w:rsid w:val="00A06C79"/>
    <w:rsid w:val="00A12739"/>
    <w:rsid w:val="00A132FF"/>
    <w:rsid w:val="00A15687"/>
    <w:rsid w:val="00A23AD2"/>
    <w:rsid w:val="00A46290"/>
    <w:rsid w:val="00A55CC0"/>
    <w:rsid w:val="00A6152D"/>
    <w:rsid w:val="00A75627"/>
    <w:rsid w:val="00A833D4"/>
    <w:rsid w:val="00A83F0D"/>
    <w:rsid w:val="00A852DC"/>
    <w:rsid w:val="00A95CC5"/>
    <w:rsid w:val="00A963A0"/>
    <w:rsid w:val="00AA300B"/>
    <w:rsid w:val="00AB7877"/>
    <w:rsid w:val="00AC1999"/>
    <w:rsid w:val="00AC2CB3"/>
    <w:rsid w:val="00AC4430"/>
    <w:rsid w:val="00AD0BEE"/>
    <w:rsid w:val="00AE7BF6"/>
    <w:rsid w:val="00AF7067"/>
    <w:rsid w:val="00B01C45"/>
    <w:rsid w:val="00B21DAF"/>
    <w:rsid w:val="00B255A4"/>
    <w:rsid w:val="00B25FFC"/>
    <w:rsid w:val="00B37A55"/>
    <w:rsid w:val="00B52825"/>
    <w:rsid w:val="00B53CAC"/>
    <w:rsid w:val="00B5710B"/>
    <w:rsid w:val="00B57CC1"/>
    <w:rsid w:val="00B617BC"/>
    <w:rsid w:val="00B63787"/>
    <w:rsid w:val="00B64BEA"/>
    <w:rsid w:val="00B6535F"/>
    <w:rsid w:val="00B73276"/>
    <w:rsid w:val="00B80B2F"/>
    <w:rsid w:val="00B90EAF"/>
    <w:rsid w:val="00BA4089"/>
    <w:rsid w:val="00BB4A5F"/>
    <w:rsid w:val="00BB580B"/>
    <w:rsid w:val="00BD4DEF"/>
    <w:rsid w:val="00BD54A4"/>
    <w:rsid w:val="00BD7768"/>
    <w:rsid w:val="00BE425B"/>
    <w:rsid w:val="00BF2205"/>
    <w:rsid w:val="00BF32B8"/>
    <w:rsid w:val="00C003F6"/>
    <w:rsid w:val="00C02D00"/>
    <w:rsid w:val="00C055C3"/>
    <w:rsid w:val="00C11837"/>
    <w:rsid w:val="00C20F52"/>
    <w:rsid w:val="00C25559"/>
    <w:rsid w:val="00C25B4C"/>
    <w:rsid w:val="00C361D6"/>
    <w:rsid w:val="00C369AA"/>
    <w:rsid w:val="00C37FCA"/>
    <w:rsid w:val="00C52A8F"/>
    <w:rsid w:val="00C52E20"/>
    <w:rsid w:val="00C70219"/>
    <w:rsid w:val="00C81EE0"/>
    <w:rsid w:val="00C824DD"/>
    <w:rsid w:val="00C8333D"/>
    <w:rsid w:val="00C8355D"/>
    <w:rsid w:val="00C842B7"/>
    <w:rsid w:val="00C94B8C"/>
    <w:rsid w:val="00C97EFF"/>
    <w:rsid w:val="00CB103B"/>
    <w:rsid w:val="00CC3EBB"/>
    <w:rsid w:val="00CD1E0A"/>
    <w:rsid w:val="00CD2842"/>
    <w:rsid w:val="00CD79DD"/>
    <w:rsid w:val="00CE1395"/>
    <w:rsid w:val="00CE1A24"/>
    <w:rsid w:val="00CE3EF1"/>
    <w:rsid w:val="00CE57A0"/>
    <w:rsid w:val="00CF46E8"/>
    <w:rsid w:val="00CF6902"/>
    <w:rsid w:val="00D0516F"/>
    <w:rsid w:val="00D1414F"/>
    <w:rsid w:val="00D1510D"/>
    <w:rsid w:val="00D23733"/>
    <w:rsid w:val="00D26C8D"/>
    <w:rsid w:val="00D364B7"/>
    <w:rsid w:val="00D41BCF"/>
    <w:rsid w:val="00D53643"/>
    <w:rsid w:val="00D556FC"/>
    <w:rsid w:val="00D56B4C"/>
    <w:rsid w:val="00D62177"/>
    <w:rsid w:val="00D636E4"/>
    <w:rsid w:val="00D664B3"/>
    <w:rsid w:val="00D707F3"/>
    <w:rsid w:val="00D801D1"/>
    <w:rsid w:val="00D874F1"/>
    <w:rsid w:val="00D9146B"/>
    <w:rsid w:val="00D914F9"/>
    <w:rsid w:val="00D940EA"/>
    <w:rsid w:val="00D970A5"/>
    <w:rsid w:val="00DA5809"/>
    <w:rsid w:val="00DB31CA"/>
    <w:rsid w:val="00DB3DE2"/>
    <w:rsid w:val="00DB4A2A"/>
    <w:rsid w:val="00DB6F9F"/>
    <w:rsid w:val="00DB714E"/>
    <w:rsid w:val="00DD0428"/>
    <w:rsid w:val="00DD511D"/>
    <w:rsid w:val="00DD56D4"/>
    <w:rsid w:val="00DD5C3F"/>
    <w:rsid w:val="00DD750B"/>
    <w:rsid w:val="00DE59DF"/>
    <w:rsid w:val="00DE6153"/>
    <w:rsid w:val="00DF668B"/>
    <w:rsid w:val="00DF7C72"/>
    <w:rsid w:val="00E00183"/>
    <w:rsid w:val="00E015D7"/>
    <w:rsid w:val="00E06499"/>
    <w:rsid w:val="00E13BB8"/>
    <w:rsid w:val="00E14F38"/>
    <w:rsid w:val="00E15422"/>
    <w:rsid w:val="00E2258A"/>
    <w:rsid w:val="00E22F7C"/>
    <w:rsid w:val="00E262FA"/>
    <w:rsid w:val="00E31E47"/>
    <w:rsid w:val="00E4738B"/>
    <w:rsid w:val="00E637B2"/>
    <w:rsid w:val="00E6543E"/>
    <w:rsid w:val="00E769FD"/>
    <w:rsid w:val="00E83816"/>
    <w:rsid w:val="00E9133E"/>
    <w:rsid w:val="00E96441"/>
    <w:rsid w:val="00EB1FC4"/>
    <w:rsid w:val="00EC0A99"/>
    <w:rsid w:val="00EC4E17"/>
    <w:rsid w:val="00ED165F"/>
    <w:rsid w:val="00ED48C2"/>
    <w:rsid w:val="00EF503A"/>
    <w:rsid w:val="00EF6351"/>
    <w:rsid w:val="00EF74A6"/>
    <w:rsid w:val="00F07991"/>
    <w:rsid w:val="00F11DD6"/>
    <w:rsid w:val="00F1587F"/>
    <w:rsid w:val="00F23C68"/>
    <w:rsid w:val="00F25C98"/>
    <w:rsid w:val="00F32A57"/>
    <w:rsid w:val="00F439FC"/>
    <w:rsid w:val="00F50813"/>
    <w:rsid w:val="00F54C8E"/>
    <w:rsid w:val="00F60085"/>
    <w:rsid w:val="00F677DE"/>
    <w:rsid w:val="00F811D5"/>
    <w:rsid w:val="00F82827"/>
    <w:rsid w:val="00F92382"/>
    <w:rsid w:val="00F94744"/>
    <w:rsid w:val="00F96106"/>
    <w:rsid w:val="00F97AD1"/>
    <w:rsid w:val="00FA4909"/>
    <w:rsid w:val="00FB1089"/>
    <w:rsid w:val="00FB4361"/>
    <w:rsid w:val="00FB7B01"/>
    <w:rsid w:val="00FC1100"/>
    <w:rsid w:val="00FC2184"/>
    <w:rsid w:val="00FC31EC"/>
    <w:rsid w:val="00FC6E6A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30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6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BA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180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0E4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80E49"/>
    <w:rPr>
      <w:vertAlign w:val="superscript"/>
    </w:rPr>
  </w:style>
  <w:style w:type="character" w:customStyle="1" w:styleId="ParagrafChar">
    <w:name w:val="Paragraf Char"/>
    <w:link w:val="Paragraf"/>
    <w:locked/>
    <w:rsid w:val="008C1E67"/>
    <w:rPr>
      <w:sz w:val="24"/>
    </w:rPr>
  </w:style>
  <w:style w:type="paragraph" w:customStyle="1" w:styleId="Textodstavce">
    <w:name w:val="Text odstavce"/>
    <w:basedOn w:val="Normln"/>
    <w:link w:val="TextodstavceChar"/>
    <w:rsid w:val="008C1E67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C1E67"/>
    <w:pPr>
      <w:keepNext/>
      <w:keepLines/>
      <w:spacing w:before="240" w:after="0" w:line="240" w:lineRule="auto"/>
      <w:jc w:val="center"/>
      <w:outlineLvl w:val="5"/>
    </w:pPr>
    <w:rPr>
      <w:sz w:val="24"/>
    </w:rPr>
  </w:style>
  <w:style w:type="character" w:customStyle="1" w:styleId="TextpsmeneChar">
    <w:name w:val="Text písmene Char"/>
    <w:link w:val="Textpsmene"/>
    <w:locked/>
    <w:rsid w:val="008C1E67"/>
    <w:rPr>
      <w:sz w:val="24"/>
    </w:rPr>
  </w:style>
  <w:style w:type="paragraph" w:customStyle="1" w:styleId="Textpsmene">
    <w:name w:val="Text písmene"/>
    <w:basedOn w:val="Normln"/>
    <w:link w:val="TextpsmeneChar"/>
    <w:rsid w:val="008C1E67"/>
    <w:pPr>
      <w:spacing w:after="0" w:line="240" w:lineRule="auto"/>
      <w:jc w:val="both"/>
      <w:outlineLvl w:val="7"/>
    </w:pPr>
    <w:rPr>
      <w:sz w:val="24"/>
    </w:rPr>
  </w:style>
  <w:style w:type="character" w:customStyle="1" w:styleId="TextodstavceChar">
    <w:name w:val="Text odstavce Char"/>
    <w:link w:val="Textodstavce"/>
    <w:locked/>
    <w:rsid w:val="008C1E67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paragrafuChar2">
    <w:name w:val="Nadpis paragrafu Char2"/>
    <w:link w:val="Nadpisparagrafu"/>
    <w:locked/>
    <w:rsid w:val="008C1E67"/>
    <w:rPr>
      <w:b/>
      <w:sz w:val="24"/>
    </w:rPr>
  </w:style>
  <w:style w:type="paragraph" w:customStyle="1" w:styleId="Nadpisparagrafu">
    <w:name w:val="Nadpis paragrafu"/>
    <w:basedOn w:val="Paragraf"/>
    <w:next w:val="Textodstavce"/>
    <w:link w:val="NadpisparagrafuChar2"/>
    <w:rsid w:val="008C1E67"/>
    <w:rPr>
      <w:b/>
    </w:rPr>
  </w:style>
  <w:style w:type="paragraph" w:customStyle="1" w:styleId="Default">
    <w:name w:val="Default"/>
    <w:rsid w:val="006B256B"/>
    <w:pPr>
      <w:autoSpaceDE w:val="0"/>
      <w:autoSpaceDN w:val="0"/>
      <w:adjustRightInd w:val="0"/>
      <w:spacing w:after="0" w:line="240" w:lineRule="auto"/>
    </w:pPr>
    <w:rPr>
      <w:rFonts w:ascii="Alegreya Sans" w:eastAsiaTheme="minorHAnsi" w:hAnsi="Alegreya Sans" w:cs="Alegreya 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34CD-41D5-49AC-8224-DCA5B785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2041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TP</cp:lastModifiedBy>
  <cp:revision>7</cp:revision>
  <dcterms:created xsi:type="dcterms:W3CDTF">2019-10-09T12:31:00Z</dcterms:created>
  <dcterms:modified xsi:type="dcterms:W3CDTF">2019-11-14T15:31:00Z</dcterms:modified>
</cp:coreProperties>
</file>