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53A" w:rsidRDefault="008E453A" w:rsidP="00DD511D">
      <w:pPr>
        <w:spacing w:after="0" w:line="288" w:lineRule="auto"/>
        <w:jc w:val="center"/>
        <w:rPr>
          <w:rFonts w:ascii="Arial" w:hAnsi="Arial" w:cs="Arial"/>
          <w:b/>
          <w:sz w:val="28"/>
          <w:szCs w:val="28"/>
        </w:rPr>
      </w:pPr>
    </w:p>
    <w:p w:rsidR="008E453A" w:rsidRDefault="008E453A" w:rsidP="00DD511D">
      <w:pPr>
        <w:spacing w:after="0" w:line="288" w:lineRule="auto"/>
        <w:jc w:val="center"/>
        <w:rPr>
          <w:rFonts w:ascii="Arial" w:hAnsi="Arial" w:cs="Arial"/>
          <w:b/>
          <w:sz w:val="28"/>
          <w:szCs w:val="28"/>
        </w:rPr>
      </w:pPr>
    </w:p>
    <w:p w:rsidR="006B256B" w:rsidRDefault="00FB1089" w:rsidP="00DD511D">
      <w:pPr>
        <w:spacing w:after="0" w:line="288" w:lineRule="auto"/>
        <w:jc w:val="center"/>
        <w:rPr>
          <w:rFonts w:ascii="Arial" w:hAnsi="Arial" w:cs="Arial"/>
          <w:b/>
          <w:sz w:val="28"/>
          <w:szCs w:val="28"/>
        </w:rPr>
      </w:pPr>
      <w:r w:rsidRPr="000B5363">
        <w:rPr>
          <w:rFonts w:ascii="Arial" w:hAnsi="Arial" w:cs="Arial"/>
          <w:b/>
          <w:sz w:val="28"/>
          <w:szCs w:val="28"/>
        </w:rPr>
        <w:t>S</w:t>
      </w:r>
      <w:r w:rsidR="00DD750B" w:rsidRPr="000B5363">
        <w:rPr>
          <w:rFonts w:ascii="Arial" w:hAnsi="Arial" w:cs="Arial"/>
          <w:b/>
          <w:sz w:val="28"/>
          <w:szCs w:val="28"/>
        </w:rPr>
        <w:t xml:space="preserve">tanovisko </w:t>
      </w:r>
      <w:r w:rsidR="00590B02" w:rsidRPr="000B5363">
        <w:rPr>
          <w:rFonts w:ascii="Arial" w:hAnsi="Arial" w:cs="Arial"/>
          <w:b/>
          <w:sz w:val="28"/>
          <w:szCs w:val="28"/>
        </w:rPr>
        <w:t>Č</w:t>
      </w:r>
      <w:r w:rsidR="00590B02">
        <w:rPr>
          <w:rFonts w:ascii="Arial" w:hAnsi="Arial" w:cs="Arial"/>
          <w:b/>
          <w:sz w:val="28"/>
          <w:szCs w:val="28"/>
        </w:rPr>
        <w:t>eského plynárenského svazu</w:t>
      </w:r>
      <w:r w:rsidR="00590B02" w:rsidRPr="00590B02">
        <w:rPr>
          <w:rFonts w:ascii="Arial" w:hAnsi="Arial" w:cs="Arial"/>
          <w:b/>
          <w:sz w:val="28"/>
          <w:szCs w:val="28"/>
        </w:rPr>
        <w:t xml:space="preserve"> k</w:t>
      </w:r>
      <w:r w:rsidR="006B256B">
        <w:rPr>
          <w:rFonts w:ascii="Arial" w:hAnsi="Arial" w:cs="Arial"/>
          <w:b/>
          <w:sz w:val="28"/>
          <w:szCs w:val="28"/>
        </w:rPr>
        <w:t> dokumentu</w:t>
      </w:r>
      <w:r w:rsidR="006B256B">
        <w:rPr>
          <w:rFonts w:ascii="Arial" w:hAnsi="Arial" w:cs="Arial"/>
          <w:b/>
          <w:sz w:val="28"/>
          <w:szCs w:val="28"/>
        </w:rPr>
        <w:br/>
      </w:r>
      <w:r w:rsidR="006B256B" w:rsidRPr="006B256B">
        <w:rPr>
          <w:rFonts w:ascii="Arial" w:hAnsi="Arial" w:cs="Arial"/>
          <w:b/>
          <w:sz w:val="28"/>
          <w:szCs w:val="28"/>
        </w:rPr>
        <w:t>„K</w:t>
      </w:r>
      <w:r w:rsidR="006B256B">
        <w:rPr>
          <w:rFonts w:ascii="Arial" w:hAnsi="Arial" w:cs="Arial"/>
          <w:b/>
          <w:sz w:val="28"/>
          <w:szCs w:val="28"/>
        </w:rPr>
        <w:t xml:space="preserve">OMPENZACE ZA ODNĚTÍ A OMEZENÍ VLASTNICKÉHO PRÁVA DLE ZÁKONA O VYVLASTNĚNÍ </w:t>
      </w:r>
      <w:r w:rsidR="006B256B" w:rsidRPr="006B256B">
        <w:rPr>
          <w:rFonts w:ascii="Arial" w:hAnsi="Arial" w:cs="Arial"/>
          <w:b/>
          <w:sz w:val="28"/>
          <w:szCs w:val="28"/>
        </w:rPr>
        <w:t>- Analýza na základě objednávky Ministerstva pro místní rozvoj ČR č. 1134/2018“</w:t>
      </w:r>
    </w:p>
    <w:p w:rsidR="00FB1089" w:rsidRPr="000B5363" w:rsidRDefault="00FB1089" w:rsidP="00DD511D">
      <w:pPr>
        <w:spacing w:after="0" w:line="288" w:lineRule="auto"/>
        <w:jc w:val="both"/>
        <w:rPr>
          <w:rFonts w:ascii="Arial" w:hAnsi="Arial" w:cs="Arial"/>
          <w:sz w:val="28"/>
          <w:szCs w:val="28"/>
        </w:rPr>
      </w:pPr>
    </w:p>
    <w:p w:rsidR="006B256B" w:rsidRDefault="006B256B" w:rsidP="006B256B">
      <w:pPr>
        <w:pStyle w:val="Default"/>
        <w:jc w:val="center"/>
        <w:rPr>
          <w:rFonts w:ascii="Arial" w:hAnsi="Arial" w:cs="Arial"/>
          <w:b/>
        </w:rPr>
      </w:pPr>
    </w:p>
    <w:p w:rsidR="006B256B" w:rsidRPr="006B256B" w:rsidRDefault="006B256B" w:rsidP="006B256B">
      <w:pPr>
        <w:pStyle w:val="Default"/>
        <w:jc w:val="center"/>
        <w:rPr>
          <w:rFonts w:ascii="Arial" w:hAnsi="Arial" w:cs="Arial"/>
          <w:b/>
        </w:rPr>
      </w:pPr>
    </w:p>
    <w:p w:rsidR="006B256B" w:rsidRPr="006B256B" w:rsidRDefault="006B256B" w:rsidP="006B256B">
      <w:pPr>
        <w:pStyle w:val="Default"/>
        <w:jc w:val="center"/>
        <w:rPr>
          <w:rFonts w:ascii="Arial" w:hAnsi="Arial" w:cs="Arial"/>
          <w:b/>
        </w:rPr>
      </w:pPr>
      <w:r w:rsidRPr="006B256B">
        <w:rPr>
          <w:rFonts w:ascii="Arial" w:hAnsi="Arial" w:cs="Arial"/>
          <w:b/>
        </w:rPr>
        <w:t>Úvod</w:t>
      </w:r>
    </w:p>
    <w:p w:rsidR="006B256B" w:rsidRPr="006B256B" w:rsidRDefault="006B256B" w:rsidP="006B256B">
      <w:pPr>
        <w:pStyle w:val="Default"/>
        <w:jc w:val="center"/>
        <w:rPr>
          <w:rFonts w:ascii="Arial" w:hAnsi="Arial" w:cs="Arial"/>
          <w:b/>
        </w:rPr>
      </w:pPr>
    </w:p>
    <w:p w:rsidR="006B256B" w:rsidRPr="006B256B" w:rsidRDefault="006B256B" w:rsidP="006B256B">
      <w:pPr>
        <w:pStyle w:val="Default"/>
        <w:jc w:val="both"/>
        <w:rPr>
          <w:rFonts w:ascii="Arial" w:hAnsi="Arial" w:cs="Arial"/>
        </w:rPr>
      </w:pPr>
      <w:r w:rsidRPr="006B256B">
        <w:rPr>
          <w:rFonts w:ascii="Arial" w:hAnsi="Arial" w:cs="Arial"/>
        </w:rPr>
        <w:t>Stanovisko se zejména zaměřilo na části týkající se kompenzací za omezení vlastnického práva zřizováním služebností (věcných břemen). Na úvod je nezbytné uvést, že analýza s ohledem na datum vyhotovení (14.</w:t>
      </w:r>
      <w:r>
        <w:rPr>
          <w:rFonts w:ascii="Arial" w:hAnsi="Arial" w:cs="Arial"/>
        </w:rPr>
        <w:t xml:space="preserve"> </w:t>
      </w:r>
      <w:r w:rsidRPr="006B256B">
        <w:rPr>
          <w:rFonts w:ascii="Arial" w:hAnsi="Arial" w:cs="Arial"/>
        </w:rPr>
        <w:t>12. 2018) nereflektuje aktuální vývoj legislativy, kdy ministerstvo financí předložilo novelu zákona č. 151/1997</w:t>
      </w:r>
      <w:r>
        <w:rPr>
          <w:rFonts w:ascii="Arial" w:hAnsi="Arial" w:cs="Arial"/>
        </w:rPr>
        <w:t xml:space="preserve"> </w:t>
      </w:r>
      <w:r w:rsidRPr="006B256B">
        <w:rPr>
          <w:rFonts w:ascii="Arial" w:hAnsi="Arial" w:cs="Arial"/>
        </w:rPr>
        <w:t xml:space="preserve">Sb., o oceňování majetku (sněmovní tisk 501), která výrazným způsob mění oceňování služebností, zejména nově zohledňuje míru omezení užívání nemovité věci u cen služebností. Tato novela tak odstraňuje hlavní argument analýzy, že § </w:t>
      </w:r>
      <w:proofErr w:type="spellStart"/>
      <w:r w:rsidRPr="006B256B">
        <w:rPr>
          <w:rFonts w:ascii="Arial" w:hAnsi="Arial" w:cs="Arial"/>
        </w:rPr>
        <w:t>16b</w:t>
      </w:r>
      <w:proofErr w:type="spellEnd"/>
      <w:r w:rsidRPr="006B256B">
        <w:rPr>
          <w:rFonts w:ascii="Arial" w:hAnsi="Arial" w:cs="Arial"/>
        </w:rPr>
        <w:t xml:space="preserve"> zákona č. 151/1997</w:t>
      </w:r>
      <w:r>
        <w:rPr>
          <w:rFonts w:ascii="Arial" w:hAnsi="Arial" w:cs="Arial"/>
        </w:rPr>
        <w:t xml:space="preserve"> </w:t>
      </w:r>
      <w:r w:rsidRPr="006B256B">
        <w:rPr>
          <w:rFonts w:ascii="Arial" w:hAnsi="Arial" w:cs="Arial"/>
        </w:rPr>
        <w:t>Sb., o oceňování majetku lze uplatnit pouze pro daňové účely, v důsledku čehož nelze zjistit majetkovou újmu povinného z věcného břemene dle tohoto zákona.</w:t>
      </w:r>
    </w:p>
    <w:p w:rsidR="006B256B" w:rsidRDefault="006B256B" w:rsidP="006B256B">
      <w:pPr>
        <w:pStyle w:val="Default"/>
        <w:jc w:val="center"/>
        <w:rPr>
          <w:rFonts w:ascii="Arial" w:hAnsi="Arial" w:cs="Arial"/>
          <w:b/>
        </w:rPr>
      </w:pPr>
    </w:p>
    <w:p w:rsidR="006B256B" w:rsidRPr="006B256B" w:rsidRDefault="006B256B" w:rsidP="006B256B">
      <w:pPr>
        <w:pStyle w:val="Default"/>
        <w:jc w:val="center"/>
        <w:rPr>
          <w:rFonts w:ascii="Arial" w:hAnsi="Arial" w:cs="Arial"/>
          <w:b/>
        </w:rPr>
      </w:pPr>
    </w:p>
    <w:p w:rsidR="006B256B" w:rsidRPr="006B256B" w:rsidRDefault="006B256B" w:rsidP="006B256B">
      <w:pPr>
        <w:pStyle w:val="Default"/>
        <w:jc w:val="center"/>
        <w:rPr>
          <w:rFonts w:ascii="Arial" w:hAnsi="Arial" w:cs="Arial"/>
          <w:b/>
        </w:rPr>
      </w:pPr>
      <w:r w:rsidRPr="006B256B">
        <w:rPr>
          <w:rFonts w:ascii="Arial" w:hAnsi="Arial" w:cs="Arial"/>
          <w:b/>
        </w:rPr>
        <w:t>Hlavní výhrady k analýze</w:t>
      </w:r>
    </w:p>
    <w:p w:rsidR="006B256B" w:rsidRDefault="006B256B" w:rsidP="006B256B">
      <w:pPr>
        <w:pStyle w:val="Default"/>
        <w:keepNext/>
        <w:numPr>
          <w:ilvl w:val="0"/>
          <w:numId w:val="8"/>
        </w:numPr>
        <w:tabs>
          <w:tab w:val="left" w:pos="567"/>
        </w:tabs>
        <w:spacing w:before="360" w:after="120"/>
        <w:ind w:left="567" w:hanging="567"/>
        <w:jc w:val="both"/>
        <w:rPr>
          <w:rFonts w:ascii="Arial" w:hAnsi="Arial" w:cs="Arial"/>
          <w:b/>
        </w:rPr>
      </w:pPr>
      <w:r w:rsidRPr="006B256B">
        <w:rPr>
          <w:rFonts w:ascii="Arial" w:hAnsi="Arial" w:cs="Arial"/>
          <w:b/>
        </w:rPr>
        <w:t>Analýza je nevyvážená</w:t>
      </w:r>
    </w:p>
    <w:p w:rsidR="006B256B" w:rsidRPr="006B256B" w:rsidRDefault="006B256B" w:rsidP="006B256B">
      <w:pPr>
        <w:pStyle w:val="Default"/>
        <w:numPr>
          <w:ilvl w:val="0"/>
          <w:numId w:val="9"/>
        </w:numPr>
        <w:tabs>
          <w:tab w:val="left" w:pos="851"/>
        </w:tabs>
        <w:ind w:left="851" w:hanging="284"/>
        <w:jc w:val="both"/>
        <w:rPr>
          <w:rFonts w:ascii="Arial" w:hAnsi="Arial" w:cs="Arial"/>
        </w:rPr>
      </w:pPr>
      <w:r w:rsidRPr="006B256B">
        <w:rPr>
          <w:rFonts w:ascii="Arial" w:hAnsi="Arial" w:cs="Arial"/>
        </w:rPr>
        <w:t>Analýza jednostranně uvádí příklady výpočtu modelových př</w:t>
      </w:r>
      <w:r>
        <w:rPr>
          <w:rFonts w:ascii="Arial" w:hAnsi="Arial" w:cs="Arial"/>
        </w:rPr>
        <w:t>ípadů (případy č. 11 a </w:t>
      </w:r>
      <w:r w:rsidRPr="006B256B">
        <w:rPr>
          <w:rFonts w:ascii="Arial" w:hAnsi="Arial" w:cs="Arial"/>
        </w:rPr>
        <w:t>12), které navozují dojem, že u všech typů inženýrských sítí a typů pozemků dochází k výrazným rozdílům při oceňování dl</w:t>
      </w:r>
      <w:r>
        <w:rPr>
          <w:rFonts w:ascii="Arial" w:hAnsi="Arial" w:cs="Arial"/>
        </w:rPr>
        <w:t>e ceny zjištěné a ceny obvyklé.</w:t>
      </w:r>
    </w:p>
    <w:p w:rsidR="006B256B" w:rsidRPr="006B256B" w:rsidRDefault="006B256B" w:rsidP="006B256B">
      <w:pPr>
        <w:pStyle w:val="Default"/>
        <w:numPr>
          <w:ilvl w:val="0"/>
          <w:numId w:val="9"/>
        </w:numPr>
        <w:tabs>
          <w:tab w:val="left" w:pos="851"/>
        </w:tabs>
        <w:ind w:left="851" w:hanging="284"/>
        <w:jc w:val="both"/>
        <w:rPr>
          <w:rFonts w:ascii="Arial" w:hAnsi="Arial" w:cs="Arial"/>
        </w:rPr>
      </w:pPr>
      <w:r w:rsidRPr="006B256B">
        <w:rPr>
          <w:rFonts w:ascii="Arial" w:hAnsi="Arial" w:cs="Arial"/>
        </w:rPr>
        <w:t>Analýza absolutně nereflektuje skutečnost, že drtivá většina inženýrských sítí je ukládána do chodníků, či jiných pozemních komunikací a stanovení ceny obvyklé služebnosti pro tento typ pozemků je prakticky nemožné, protože trh s veřejnými pozemními komunikacemi neexistuje a znalci fakticky se při svých úvahách mohou opřít pouze o cenu stanovenou na základě §</w:t>
      </w:r>
      <w:r w:rsidR="00446757">
        <w:rPr>
          <w:rFonts w:ascii="Arial" w:hAnsi="Arial" w:cs="Arial"/>
        </w:rPr>
        <w:t xml:space="preserve"> </w:t>
      </w:r>
      <w:proofErr w:type="spellStart"/>
      <w:r w:rsidRPr="006B256B">
        <w:rPr>
          <w:rFonts w:ascii="Arial" w:hAnsi="Arial" w:cs="Arial"/>
        </w:rPr>
        <w:t>16b</w:t>
      </w:r>
      <w:proofErr w:type="spellEnd"/>
      <w:r w:rsidRPr="006B256B">
        <w:rPr>
          <w:rFonts w:ascii="Arial" w:hAnsi="Arial" w:cs="Arial"/>
        </w:rPr>
        <w:t xml:space="preserve"> </w:t>
      </w:r>
      <w:r>
        <w:rPr>
          <w:rFonts w:ascii="Arial" w:hAnsi="Arial" w:cs="Arial"/>
        </w:rPr>
        <w:t>zákona č. 151/1997</w:t>
      </w:r>
      <w:r w:rsidR="00446757">
        <w:rPr>
          <w:rFonts w:ascii="Arial" w:hAnsi="Arial" w:cs="Arial"/>
        </w:rPr>
        <w:t xml:space="preserve"> </w:t>
      </w:r>
      <w:r>
        <w:rPr>
          <w:rFonts w:ascii="Arial" w:hAnsi="Arial" w:cs="Arial"/>
        </w:rPr>
        <w:t>Sb., o </w:t>
      </w:r>
      <w:r w:rsidRPr="006B256B">
        <w:rPr>
          <w:rFonts w:ascii="Arial" w:hAnsi="Arial" w:cs="Arial"/>
        </w:rPr>
        <w:t>oceňování majetku</w:t>
      </w:r>
      <w:r>
        <w:rPr>
          <w:rFonts w:ascii="Arial" w:hAnsi="Arial" w:cs="Arial"/>
        </w:rPr>
        <w:t>.</w:t>
      </w:r>
    </w:p>
    <w:p w:rsidR="006B256B" w:rsidRPr="006B256B" w:rsidRDefault="006B256B" w:rsidP="006B256B">
      <w:pPr>
        <w:pStyle w:val="Default"/>
        <w:numPr>
          <w:ilvl w:val="0"/>
          <w:numId w:val="9"/>
        </w:numPr>
        <w:tabs>
          <w:tab w:val="left" w:pos="851"/>
        </w:tabs>
        <w:ind w:left="851" w:hanging="284"/>
        <w:jc w:val="both"/>
        <w:rPr>
          <w:rFonts w:ascii="Arial" w:hAnsi="Arial" w:cs="Arial"/>
        </w:rPr>
      </w:pPr>
      <w:r w:rsidRPr="006B256B">
        <w:rPr>
          <w:rFonts w:ascii="Arial" w:hAnsi="Arial" w:cs="Arial"/>
        </w:rPr>
        <w:t>Je v zásadě zarážející, že modelové příklady nejsou vypracovány také pro podzemní vedení inženýrských sítí, protože ty by naopak musely zákonitě dojít k závěru, že cena obvyklá je výrazně nižší než cena zjištěná (např. pokud bude inženýrská síť umístěna v zemědělském pozemku v dostatečné hloubce, tak vlastníkovi pozemku de-facto nevzniká žádná újma a pozemek může nadále plně využívat)</w:t>
      </w:r>
      <w:r>
        <w:rPr>
          <w:rFonts w:ascii="Arial" w:hAnsi="Arial" w:cs="Arial"/>
        </w:rPr>
        <w:t>.</w:t>
      </w:r>
    </w:p>
    <w:p w:rsidR="006B256B" w:rsidRPr="006B256B" w:rsidRDefault="006B256B" w:rsidP="006B256B">
      <w:pPr>
        <w:pStyle w:val="Default"/>
        <w:numPr>
          <w:ilvl w:val="0"/>
          <w:numId w:val="9"/>
        </w:numPr>
        <w:tabs>
          <w:tab w:val="left" w:pos="851"/>
        </w:tabs>
        <w:ind w:left="851" w:hanging="284"/>
        <w:jc w:val="both"/>
        <w:rPr>
          <w:rFonts w:ascii="Arial" w:hAnsi="Arial" w:cs="Arial"/>
        </w:rPr>
      </w:pPr>
      <w:r w:rsidRPr="006B256B">
        <w:rPr>
          <w:rFonts w:ascii="Arial" w:hAnsi="Arial" w:cs="Arial"/>
        </w:rPr>
        <w:lastRenderedPageBreak/>
        <w:t>Velmi obdobná situace je pak u veřejných chodníků, které jsou fakticky určené pro umisťování technické infrastruktury, a tedy vlastníkovi chodníku nemůže vzniknout jakákoliv větší újma v souvislosti s umístěním technické infrastruktury.</w:t>
      </w:r>
    </w:p>
    <w:p w:rsidR="006B256B" w:rsidRPr="006B256B" w:rsidRDefault="006B256B" w:rsidP="006B256B">
      <w:pPr>
        <w:pStyle w:val="Default"/>
        <w:numPr>
          <w:ilvl w:val="0"/>
          <w:numId w:val="9"/>
        </w:numPr>
        <w:tabs>
          <w:tab w:val="left" w:pos="851"/>
        </w:tabs>
        <w:ind w:left="851" w:hanging="284"/>
        <w:jc w:val="both"/>
        <w:rPr>
          <w:rFonts w:ascii="Arial" w:hAnsi="Arial" w:cs="Arial"/>
        </w:rPr>
      </w:pPr>
      <w:r w:rsidRPr="006B256B">
        <w:rPr>
          <w:rFonts w:ascii="Arial" w:hAnsi="Arial" w:cs="Arial"/>
        </w:rPr>
        <w:t>V neposlední řadě se analýza vůbec nezabývala otázkou toho, že v případě zřízení přípojky technické infrastruktury na stavebním pozemku, vzroste hodnota pozemku v řádech 100</w:t>
      </w:r>
      <w:r w:rsidR="00C25B4C">
        <w:rPr>
          <w:rFonts w:ascii="Arial" w:hAnsi="Arial" w:cs="Arial"/>
        </w:rPr>
        <w:t xml:space="preserve">,- </w:t>
      </w:r>
      <w:r w:rsidRPr="006B256B">
        <w:rPr>
          <w:rFonts w:ascii="Arial" w:hAnsi="Arial" w:cs="Arial"/>
        </w:rPr>
        <w:t>Kč až 1</w:t>
      </w:r>
      <w:r w:rsidR="00C25B4C">
        <w:rPr>
          <w:rFonts w:ascii="Arial" w:hAnsi="Arial" w:cs="Arial"/>
        </w:rPr>
        <w:t> </w:t>
      </w:r>
      <w:r w:rsidRPr="006B256B">
        <w:rPr>
          <w:rFonts w:ascii="Arial" w:hAnsi="Arial" w:cs="Arial"/>
        </w:rPr>
        <w:t>000</w:t>
      </w:r>
      <w:r w:rsidR="00C25B4C">
        <w:rPr>
          <w:rFonts w:ascii="Arial" w:hAnsi="Arial" w:cs="Arial"/>
        </w:rPr>
        <w:t xml:space="preserve">,- </w:t>
      </w:r>
      <w:r w:rsidRPr="006B256B">
        <w:rPr>
          <w:rFonts w:ascii="Arial" w:hAnsi="Arial" w:cs="Arial"/>
        </w:rPr>
        <w:t xml:space="preserve">Kč za </w:t>
      </w:r>
      <w:proofErr w:type="spellStart"/>
      <w:r w:rsidRPr="006B256B">
        <w:rPr>
          <w:rFonts w:ascii="Arial" w:hAnsi="Arial" w:cs="Arial"/>
        </w:rPr>
        <w:t>m</w:t>
      </w:r>
      <w:r w:rsidRPr="00C25B4C">
        <w:rPr>
          <w:rFonts w:ascii="Arial" w:hAnsi="Arial" w:cs="Arial"/>
          <w:vertAlign w:val="superscript"/>
        </w:rPr>
        <w:t>2</w:t>
      </w:r>
      <w:proofErr w:type="spellEnd"/>
      <w:r w:rsidRPr="006B256B">
        <w:rPr>
          <w:rFonts w:ascii="Arial" w:hAnsi="Arial" w:cs="Arial"/>
        </w:rPr>
        <w:t>, a to i přesto, že na tomto stavebním pozemku budou zřízeny služebnosti ve prospěch těchto sítí.</w:t>
      </w:r>
    </w:p>
    <w:p w:rsidR="006B256B" w:rsidRPr="006B256B" w:rsidRDefault="006B256B" w:rsidP="006B256B">
      <w:pPr>
        <w:pStyle w:val="Default"/>
        <w:keepNext/>
        <w:numPr>
          <w:ilvl w:val="0"/>
          <w:numId w:val="8"/>
        </w:numPr>
        <w:tabs>
          <w:tab w:val="left" w:pos="567"/>
        </w:tabs>
        <w:spacing w:before="360" w:after="120"/>
        <w:ind w:left="567" w:hanging="567"/>
        <w:jc w:val="both"/>
        <w:rPr>
          <w:rFonts w:ascii="Arial" w:hAnsi="Arial" w:cs="Arial"/>
          <w:b/>
        </w:rPr>
      </w:pPr>
      <w:r w:rsidRPr="006B256B">
        <w:rPr>
          <w:rFonts w:ascii="Arial" w:hAnsi="Arial" w:cs="Arial"/>
          <w:b/>
        </w:rPr>
        <w:t>Analýza obsahuje faktické chyby</w:t>
      </w:r>
    </w:p>
    <w:p w:rsidR="006B256B" w:rsidRPr="006B256B" w:rsidRDefault="006B256B" w:rsidP="006B256B">
      <w:pPr>
        <w:pStyle w:val="Default"/>
        <w:numPr>
          <w:ilvl w:val="0"/>
          <w:numId w:val="9"/>
        </w:numPr>
        <w:tabs>
          <w:tab w:val="left" w:pos="851"/>
        </w:tabs>
        <w:ind w:left="851" w:hanging="284"/>
        <w:jc w:val="both"/>
        <w:rPr>
          <w:rFonts w:ascii="Arial" w:hAnsi="Arial" w:cs="Arial"/>
        </w:rPr>
      </w:pPr>
      <w:r w:rsidRPr="006B256B">
        <w:rPr>
          <w:rFonts w:ascii="Arial" w:hAnsi="Arial" w:cs="Arial"/>
        </w:rPr>
        <w:t xml:space="preserve">V analýze je nesprávně uvedeno, že mezi účely </w:t>
      </w:r>
      <w:r>
        <w:rPr>
          <w:rFonts w:ascii="Arial" w:hAnsi="Arial" w:cs="Arial"/>
        </w:rPr>
        <w:t>vyvlastnění, které mohou vést k </w:t>
      </w:r>
      <w:r w:rsidRPr="006B256B">
        <w:rPr>
          <w:rFonts w:ascii="Arial" w:hAnsi="Arial" w:cs="Arial"/>
        </w:rPr>
        <w:t>omezení vlastnického práva, patří zejména výsta</w:t>
      </w:r>
      <w:r>
        <w:rPr>
          <w:rFonts w:ascii="Arial" w:hAnsi="Arial" w:cs="Arial"/>
        </w:rPr>
        <w:t>vba technické infrastruktury, a </w:t>
      </w:r>
      <w:r w:rsidRPr="006B256B">
        <w:rPr>
          <w:rFonts w:ascii="Arial" w:hAnsi="Arial" w:cs="Arial"/>
        </w:rPr>
        <w:t xml:space="preserve">to na základě zřízení služebnost inženýrské sítě dle § 1267 </w:t>
      </w:r>
      <w:proofErr w:type="spellStart"/>
      <w:r w:rsidRPr="006B256B">
        <w:rPr>
          <w:rFonts w:ascii="Arial" w:hAnsi="Arial" w:cs="Arial"/>
        </w:rPr>
        <w:t>OZ</w:t>
      </w:r>
      <w:proofErr w:type="spellEnd"/>
      <w:r w:rsidRPr="006B256B">
        <w:rPr>
          <w:rFonts w:ascii="Arial" w:hAnsi="Arial" w:cs="Arial"/>
        </w:rPr>
        <w:t xml:space="preserve">. Vyvlastnění nelze uskutečnit na základě § 1267 </w:t>
      </w:r>
      <w:proofErr w:type="spellStart"/>
      <w:r w:rsidRPr="006B256B">
        <w:rPr>
          <w:rFonts w:ascii="Arial" w:hAnsi="Arial" w:cs="Arial"/>
        </w:rPr>
        <w:t>OZ</w:t>
      </w:r>
      <w:proofErr w:type="spellEnd"/>
      <w:r w:rsidRPr="006B256B">
        <w:rPr>
          <w:rFonts w:ascii="Arial" w:hAnsi="Arial" w:cs="Arial"/>
        </w:rPr>
        <w:t>, který upravuje soukromoprávní umisťování inženýrských sítí, ale na základě služebností upravených v jednotlivých složkových zákonech (např. §</w:t>
      </w:r>
      <w:r w:rsidR="00452A7A">
        <w:rPr>
          <w:rFonts w:ascii="Arial" w:hAnsi="Arial" w:cs="Arial"/>
        </w:rPr>
        <w:t xml:space="preserve"> </w:t>
      </w:r>
      <w:r w:rsidRPr="006B256B">
        <w:rPr>
          <w:rFonts w:ascii="Arial" w:hAnsi="Arial" w:cs="Arial"/>
        </w:rPr>
        <w:t>104 zákona č. 127/2005</w:t>
      </w:r>
      <w:r>
        <w:rPr>
          <w:rFonts w:ascii="Arial" w:hAnsi="Arial" w:cs="Arial"/>
        </w:rPr>
        <w:t xml:space="preserve"> Sb. o </w:t>
      </w:r>
      <w:r w:rsidRPr="006B256B">
        <w:rPr>
          <w:rFonts w:ascii="Arial" w:hAnsi="Arial" w:cs="Arial"/>
        </w:rPr>
        <w:t>elektronických komunikacích</w:t>
      </w:r>
      <w:r w:rsidR="004713B5">
        <w:rPr>
          <w:rFonts w:ascii="Arial" w:hAnsi="Arial" w:cs="Arial"/>
        </w:rPr>
        <w:t xml:space="preserve">, § 23, 25, 58, 59 a další zákona č. 458/2000 Sb. </w:t>
      </w:r>
      <w:r w:rsidR="00446757">
        <w:rPr>
          <w:rFonts w:ascii="Arial" w:hAnsi="Arial" w:cs="Arial"/>
        </w:rPr>
        <w:t>o </w:t>
      </w:r>
      <w:r w:rsidR="004713B5" w:rsidRPr="004713B5">
        <w:rPr>
          <w:rFonts w:ascii="Arial" w:hAnsi="Arial" w:cs="Arial"/>
        </w:rPr>
        <w:t>podmínkách podnikání a o výkonu státní správy v energetických odvětvích</w:t>
      </w:r>
      <w:r w:rsidRPr="006B256B">
        <w:rPr>
          <w:rFonts w:ascii="Arial" w:hAnsi="Arial" w:cs="Arial"/>
        </w:rPr>
        <w:t xml:space="preserve">), které stanovují pravidla pro zřizování služebností </w:t>
      </w:r>
      <w:r w:rsidR="004713B5">
        <w:rPr>
          <w:rFonts w:ascii="Arial" w:hAnsi="Arial" w:cs="Arial"/>
        </w:rPr>
        <w:t xml:space="preserve">(věcných břemen) </w:t>
      </w:r>
      <w:r w:rsidRPr="006B256B">
        <w:rPr>
          <w:rFonts w:ascii="Arial" w:hAnsi="Arial" w:cs="Arial"/>
        </w:rPr>
        <w:t>veřejné technické infrastruktury.</w:t>
      </w:r>
    </w:p>
    <w:p w:rsidR="006B256B" w:rsidRPr="006B256B" w:rsidRDefault="006B256B" w:rsidP="006B256B">
      <w:pPr>
        <w:pStyle w:val="Default"/>
        <w:numPr>
          <w:ilvl w:val="0"/>
          <w:numId w:val="9"/>
        </w:numPr>
        <w:tabs>
          <w:tab w:val="left" w:pos="851"/>
        </w:tabs>
        <w:ind w:left="851" w:hanging="284"/>
        <w:jc w:val="both"/>
        <w:rPr>
          <w:rFonts w:ascii="Arial" w:hAnsi="Arial" w:cs="Arial"/>
        </w:rPr>
      </w:pPr>
      <w:r w:rsidRPr="006B256B">
        <w:rPr>
          <w:rFonts w:ascii="Arial" w:hAnsi="Arial" w:cs="Arial"/>
        </w:rPr>
        <w:t>Dále se v textu uvádí, že náhrada za zřízení služebnosti nemusí být vždy jednorázová, ale může být opakující. To je však v rozporu s obecným právním principem, že služebnost má povahu věcného práva a tedy musí být vždy za jednorázovou náhradu.</w:t>
      </w:r>
    </w:p>
    <w:p w:rsidR="006B256B" w:rsidRPr="006B256B" w:rsidRDefault="006B256B" w:rsidP="006B256B">
      <w:pPr>
        <w:pStyle w:val="Default"/>
        <w:keepNext/>
        <w:numPr>
          <w:ilvl w:val="0"/>
          <w:numId w:val="8"/>
        </w:numPr>
        <w:tabs>
          <w:tab w:val="left" w:pos="567"/>
        </w:tabs>
        <w:spacing w:before="360" w:after="120"/>
        <w:ind w:left="567" w:hanging="567"/>
        <w:jc w:val="both"/>
        <w:rPr>
          <w:rFonts w:ascii="Arial" w:hAnsi="Arial" w:cs="Arial"/>
          <w:b/>
        </w:rPr>
      </w:pPr>
      <w:r w:rsidRPr="006B256B">
        <w:rPr>
          <w:rFonts w:ascii="Arial" w:hAnsi="Arial" w:cs="Arial"/>
          <w:b/>
        </w:rPr>
        <w:t>Analýza si v některých bodech rozporuje</w:t>
      </w:r>
    </w:p>
    <w:p w:rsidR="006B256B" w:rsidRPr="006B256B" w:rsidRDefault="006B256B" w:rsidP="006B256B">
      <w:pPr>
        <w:pStyle w:val="Default"/>
        <w:numPr>
          <w:ilvl w:val="0"/>
          <w:numId w:val="9"/>
        </w:numPr>
        <w:tabs>
          <w:tab w:val="left" w:pos="851"/>
        </w:tabs>
        <w:ind w:left="851" w:hanging="284"/>
        <w:jc w:val="both"/>
        <w:rPr>
          <w:rFonts w:ascii="Arial" w:hAnsi="Arial" w:cs="Arial"/>
        </w:rPr>
      </w:pPr>
      <w:r w:rsidRPr="006B256B">
        <w:rPr>
          <w:rFonts w:ascii="Arial" w:hAnsi="Arial" w:cs="Arial"/>
        </w:rPr>
        <w:t xml:space="preserve">Analýza na jedné straně tvrdí, že současný právní stav dostatečně nezohledňuje míru omezení vlastnického práva zřízením služebnosti pro technickou infrastrukturu a na druhé straně tvrdí, že za obvyklé užívání pozemku nelze pak považovat jednorázové aktivity (zejména stavební činnost – viz </w:t>
      </w:r>
      <w:proofErr w:type="spellStart"/>
      <w:r w:rsidRPr="006B256B">
        <w:rPr>
          <w:rFonts w:ascii="Arial" w:hAnsi="Arial" w:cs="Arial"/>
        </w:rPr>
        <w:t>NS</w:t>
      </w:r>
      <w:proofErr w:type="spellEnd"/>
      <w:r w:rsidRPr="006B256B">
        <w:rPr>
          <w:rFonts w:ascii="Arial" w:hAnsi="Arial" w:cs="Arial"/>
        </w:rPr>
        <w:t xml:space="preserve"> 22 </w:t>
      </w:r>
      <w:proofErr w:type="spellStart"/>
      <w:r w:rsidRPr="006B256B">
        <w:rPr>
          <w:rFonts w:ascii="Arial" w:hAnsi="Arial" w:cs="Arial"/>
        </w:rPr>
        <w:t>Cdo</w:t>
      </w:r>
      <w:proofErr w:type="spellEnd"/>
      <w:r w:rsidRPr="006B256B">
        <w:rPr>
          <w:rFonts w:ascii="Arial" w:hAnsi="Arial" w:cs="Arial"/>
        </w:rPr>
        <w:t xml:space="preserve"> 333/2013), ale možnost pozemek užívat v souladu s jeho vlastnostmi a právními předpisy: např. k pěstování zemědělských plodin, pastvě hospodářských zvířat, rekreaci atd., což v drtivém případě umístění inženýrské sítě do pozemku nikterak nenarušuje.</w:t>
      </w:r>
    </w:p>
    <w:p w:rsidR="006B256B" w:rsidRPr="006B256B" w:rsidRDefault="006B256B" w:rsidP="006B256B">
      <w:pPr>
        <w:pStyle w:val="Default"/>
        <w:numPr>
          <w:ilvl w:val="0"/>
          <w:numId w:val="9"/>
        </w:numPr>
        <w:tabs>
          <w:tab w:val="left" w:pos="851"/>
        </w:tabs>
        <w:ind w:left="851" w:hanging="284"/>
        <w:jc w:val="both"/>
        <w:rPr>
          <w:rFonts w:ascii="Arial" w:hAnsi="Arial" w:cs="Arial"/>
        </w:rPr>
      </w:pPr>
      <w:r w:rsidRPr="006B256B">
        <w:rPr>
          <w:rFonts w:ascii="Arial" w:hAnsi="Arial" w:cs="Arial"/>
        </w:rPr>
        <w:t xml:space="preserve">Analýza pak dále konstatuje, že nepřiměřené nízké náhrady za omezení vlastnického práva u služebností mohou být v rozporu s čl. 11 odst. 4 Listiny, avšak na mnoha místech tvrdí, že soudy v individuálních a výjimečných případech mohou moderovat nepřiměřenost náhrady </w:t>
      </w:r>
      <w:r w:rsidR="00842941">
        <w:rPr>
          <w:rFonts w:ascii="Arial" w:hAnsi="Arial" w:cs="Arial"/>
        </w:rPr>
        <w:t>za omezení vlastnického práva a </w:t>
      </w:r>
      <w:r w:rsidRPr="006B256B">
        <w:rPr>
          <w:rFonts w:ascii="Arial" w:hAnsi="Arial" w:cs="Arial"/>
        </w:rPr>
        <w:t>dokonce tak i činí v souladu s právním řádem ČR a je tedy zřejmé, že není zapotřebí z tohoto pohledu nastavenou právní úpravu měnit.</w:t>
      </w:r>
    </w:p>
    <w:p w:rsidR="006B256B" w:rsidRPr="006B256B" w:rsidRDefault="006B256B" w:rsidP="006B256B">
      <w:pPr>
        <w:pStyle w:val="Default"/>
        <w:keepNext/>
        <w:numPr>
          <w:ilvl w:val="0"/>
          <w:numId w:val="8"/>
        </w:numPr>
        <w:tabs>
          <w:tab w:val="left" w:pos="567"/>
        </w:tabs>
        <w:spacing w:before="360" w:after="120"/>
        <w:ind w:left="567" w:hanging="567"/>
        <w:jc w:val="both"/>
        <w:rPr>
          <w:rFonts w:ascii="Arial" w:hAnsi="Arial" w:cs="Arial"/>
          <w:b/>
        </w:rPr>
      </w:pPr>
      <w:r w:rsidRPr="006B256B">
        <w:rPr>
          <w:rFonts w:ascii="Arial" w:hAnsi="Arial" w:cs="Arial"/>
          <w:b/>
        </w:rPr>
        <w:t>Analýza obsahuje subjektivní názory autorů</w:t>
      </w:r>
    </w:p>
    <w:p w:rsidR="006B256B" w:rsidRPr="006B256B" w:rsidRDefault="006B256B" w:rsidP="006B256B">
      <w:pPr>
        <w:pStyle w:val="Default"/>
        <w:numPr>
          <w:ilvl w:val="0"/>
          <w:numId w:val="9"/>
        </w:numPr>
        <w:tabs>
          <w:tab w:val="left" w:pos="851"/>
        </w:tabs>
        <w:ind w:left="851" w:hanging="284"/>
        <w:jc w:val="both"/>
        <w:rPr>
          <w:rFonts w:ascii="Arial" w:hAnsi="Arial" w:cs="Arial"/>
        </w:rPr>
      </w:pPr>
      <w:r w:rsidRPr="006B256B">
        <w:rPr>
          <w:rFonts w:ascii="Arial" w:hAnsi="Arial" w:cs="Arial"/>
        </w:rPr>
        <w:t>Na mnoha místech textu autoři vyvozují své subjektivní a ničím neodůvodněné názory, např.:</w:t>
      </w:r>
    </w:p>
    <w:p w:rsidR="006B256B" w:rsidRPr="006B256B" w:rsidRDefault="006B256B" w:rsidP="00842941">
      <w:pPr>
        <w:pStyle w:val="Default"/>
        <w:numPr>
          <w:ilvl w:val="1"/>
          <w:numId w:val="9"/>
        </w:numPr>
        <w:tabs>
          <w:tab w:val="left" w:pos="1276"/>
        </w:tabs>
        <w:spacing w:before="60"/>
        <w:ind w:left="1276" w:hanging="425"/>
        <w:jc w:val="both"/>
        <w:rPr>
          <w:rFonts w:ascii="Arial" w:hAnsi="Arial" w:cs="Arial"/>
          <w:i/>
        </w:rPr>
      </w:pPr>
      <w:r w:rsidRPr="006B256B">
        <w:rPr>
          <w:rFonts w:ascii="Arial" w:hAnsi="Arial" w:cs="Arial"/>
          <w:i/>
        </w:rPr>
        <w:t>„Přiznáním náhrady za omezení vlastnického práva zřízením služebnosti ve výši zjištěné ceny by byla přiznána náhrada neodpovídají</w:t>
      </w:r>
      <w:r w:rsidR="00842941">
        <w:rPr>
          <w:rFonts w:ascii="Arial" w:hAnsi="Arial" w:cs="Arial"/>
          <w:i/>
        </w:rPr>
        <w:t>cí majetkové újmě a </w:t>
      </w:r>
      <w:r w:rsidRPr="006B256B">
        <w:rPr>
          <w:rFonts w:ascii="Arial" w:hAnsi="Arial" w:cs="Arial"/>
          <w:i/>
        </w:rPr>
        <w:t>náhrada, která by tudíž nebyla v rozumném poměru k tržní hodnotě služebnosti.“</w:t>
      </w:r>
    </w:p>
    <w:p w:rsidR="006B256B" w:rsidRPr="006B256B" w:rsidRDefault="006B256B" w:rsidP="006B256B">
      <w:pPr>
        <w:pStyle w:val="Default"/>
        <w:numPr>
          <w:ilvl w:val="1"/>
          <w:numId w:val="9"/>
        </w:numPr>
        <w:tabs>
          <w:tab w:val="left" w:pos="1276"/>
        </w:tabs>
        <w:ind w:left="1276" w:hanging="425"/>
        <w:jc w:val="both"/>
        <w:rPr>
          <w:rFonts w:ascii="Arial" w:hAnsi="Arial" w:cs="Arial"/>
          <w:i/>
        </w:rPr>
      </w:pPr>
      <w:r w:rsidRPr="006B256B">
        <w:rPr>
          <w:rFonts w:ascii="Arial" w:hAnsi="Arial" w:cs="Arial"/>
          <w:i/>
        </w:rPr>
        <w:lastRenderedPageBreak/>
        <w:t>„Zároveň je nutné razantně odmítnout zvažované změny zákona, podle nichž by zákon o vyvlastnění a další související předpisy přikazovaly stanovit náhradu podle cenového předpisu.“</w:t>
      </w:r>
    </w:p>
    <w:p w:rsidR="006B256B" w:rsidRPr="006B256B" w:rsidRDefault="006B256B" w:rsidP="006B256B">
      <w:pPr>
        <w:pStyle w:val="Default"/>
        <w:numPr>
          <w:ilvl w:val="1"/>
          <w:numId w:val="9"/>
        </w:numPr>
        <w:tabs>
          <w:tab w:val="left" w:pos="1276"/>
        </w:tabs>
        <w:ind w:left="1276" w:hanging="425"/>
        <w:jc w:val="both"/>
        <w:rPr>
          <w:rFonts w:ascii="Arial" w:hAnsi="Arial" w:cs="Arial"/>
          <w:i/>
        </w:rPr>
      </w:pPr>
      <w:r w:rsidRPr="006B256B">
        <w:rPr>
          <w:rFonts w:ascii="Arial" w:hAnsi="Arial" w:cs="Arial"/>
          <w:i/>
        </w:rPr>
        <w:t xml:space="preserve">„Bohužel k tomu již došlo v případě zákona č. 169/2018 Sb. (viz dále část </w:t>
      </w:r>
      <w:proofErr w:type="gramStart"/>
      <w:r w:rsidRPr="006B256B">
        <w:rPr>
          <w:rFonts w:ascii="Arial" w:hAnsi="Arial" w:cs="Arial"/>
          <w:i/>
        </w:rPr>
        <w:t>II.6.2</w:t>
      </w:r>
      <w:proofErr w:type="gramEnd"/>
      <w:r w:rsidRPr="006B256B">
        <w:rPr>
          <w:rFonts w:ascii="Arial" w:hAnsi="Arial" w:cs="Arial"/>
          <w:i/>
        </w:rPr>
        <w:t>) a také v případě zákona č. 127/2005 Sb., o elektronických komunikacích, jehož § 104 odst. 3 nyní po změně zákonem č. 194/2017 Sb. obsahuje pravidlo, že „maximální výše jednorázové náhrady za zřízení služebnosti se stanoví podle zákona upravujícího oceňování majetku.“</w:t>
      </w:r>
    </w:p>
    <w:p w:rsidR="006B256B" w:rsidRPr="006B256B" w:rsidRDefault="006B256B" w:rsidP="006B256B">
      <w:pPr>
        <w:pStyle w:val="Default"/>
        <w:keepNext/>
        <w:numPr>
          <w:ilvl w:val="0"/>
          <w:numId w:val="8"/>
        </w:numPr>
        <w:tabs>
          <w:tab w:val="left" w:pos="567"/>
        </w:tabs>
        <w:spacing w:before="360" w:after="120"/>
        <w:ind w:left="567" w:hanging="567"/>
        <w:jc w:val="both"/>
        <w:rPr>
          <w:rFonts w:ascii="Arial" w:hAnsi="Arial" w:cs="Arial"/>
          <w:b/>
        </w:rPr>
      </w:pPr>
      <w:r w:rsidRPr="006B256B">
        <w:rPr>
          <w:rFonts w:ascii="Arial" w:hAnsi="Arial" w:cs="Arial"/>
          <w:b/>
        </w:rPr>
        <w:t>Závěry analýzy nahrávají vybraným zájmovým skupinám</w:t>
      </w:r>
    </w:p>
    <w:p w:rsidR="006B256B" w:rsidRPr="006B256B" w:rsidRDefault="006B256B" w:rsidP="006B256B">
      <w:pPr>
        <w:pStyle w:val="Default"/>
        <w:numPr>
          <w:ilvl w:val="0"/>
          <w:numId w:val="9"/>
        </w:numPr>
        <w:tabs>
          <w:tab w:val="left" w:pos="851"/>
        </w:tabs>
        <w:ind w:left="851" w:hanging="284"/>
        <w:jc w:val="both"/>
        <w:rPr>
          <w:rFonts w:ascii="Arial" w:hAnsi="Arial" w:cs="Arial"/>
        </w:rPr>
      </w:pPr>
      <w:r w:rsidRPr="006B256B">
        <w:rPr>
          <w:rFonts w:ascii="Arial" w:hAnsi="Arial" w:cs="Arial"/>
        </w:rPr>
        <w:t>S ohledem na celkové vyznění analýzy nelze si nepovšimnout toho, že analýza výrazným způsobem zvýhodňuje vyvlastňovaného na úkor vyvlastnitele, kdy vyjmenovává veškeré další možné kompenzace, které by vyvlastňovaný měl oproti současnému stavu dostávat (např. náhradu za geologický průzkum, či náhradu za zákonem stanovená ochranná pásma). Absolutně v analýze chybí akcentace veřejného zájmu.</w:t>
      </w:r>
    </w:p>
    <w:p w:rsidR="006B256B" w:rsidRPr="006B256B" w:rsidRDefault="006B256B" w:rsidP="006B256B">
      <w:pPr>
        <w:pStyle w:val="Default"/>
        <w:numPr>
          <w:ilvl w:val="0"/>
          <w:numId w:val="9"/>
        </w:numPr>
        <w:tabs>
          <w:tab w:val="left" w:pos="851"/>
        </w:tabs>
        <w:ind w:left="851" w:hanging="284"/>
        <w:jc w:val="both"/>
        <w:rPr>
          <w:rFonts w:ascii="Arial" w:hAnsi="Arial" w:cs="Arial"/>
        </w:rPr>
      </w:pPr>
      <w:r w:rsidRPr="006B256B">
        <w:rPr>
          <w:rFonts w:ascii="Arial" w:hAnsi="Arial" w:cs="Arial"/>
        </w:rPr>
        <w:t>Současně je nutné zmínit střet zájmu samotných autorů, kteří jakožto znalci v daném oboru v analýze výrazným způsobem upřednostňují oceňovaní dle ceny obvyklé, které dává velký prostor pro uvážení jednotlivých znalců a tím k prohloubení tolik nežádoucího jevu, kdy celé vyvlastňovací řízení je bojem znaleckých posudků. Zejména pro oblast oceňovaní služebností v rozporu s výkladem ministerstva financí, které jasně několikrát deklarovalo, že zákon č. 151/1997</w:t>
      </w:r>
      <w:r w:rsidR="00842941">
        <w:rPr>
          <w:rFonts w:ascii="Arial" w:hAnsi="Arial" w:cs="Arial"/>
        </w:rPr>
        <w:t xml:space="preserve"> </w:t>
      </w:r>
      <w:r w:rsidRPr="006B256B">
        <w:rPr>
          <w:rFonts w:ascii="Arial" w:hAnsi="Arial" w:cs="Arial"/>
        </w:rPr>
        <w:t>Sb., o oceňování majetku neumožňuje užití obvyklé ceny při oceňování služebností u veřejné technické infrastruktury.</w:t>
      </w:r>
    </w:p>
    <w:p w:rsidR="006B256B" w:rsidRPr="006B256B" w:rsidRDefault="006B256B" w:rsidP="006B256B">
      <w:pPr>
        <w:pStyle w:val="Default"/>
        <w:keepNext/>
        <w:numPr>
          <w:ilvl w:val="0"/>
          <w:numId w:val="8"/>
        </w:numPr>
        <w:tabs>
          <w:tab w:val="left" w:pos="567"/>
        </w:tabs>
        <w:spacing w:before="360" w:after="120"/>
        <w:ind w:left="567" w:hanging="567"/>
        <w:jc w:val="both"/>
        <w:rPr>
          <w:rFonts w:ascii="Arial" w:hAnsi="Arial" w:cs="Arial"/>
          <w:b/>
        </w:rPr>
      </w:pPr>
      <w:r w:rsidRPr="006B256B">
        <w:rPr>
          <w:rFonts w:ascii="Arial" w:hAnsi="Arial" w:cs="Arial"/>
          <w:b/>
        </w:rPr>
        <w:t>Závěry analýzy mohou vést k zastavení, či zpomalení výstavby technické infrastruktury v ČR</w:t>
      </w:r>
    </w:p>
    <w:p w:rsidR="006B256B" w:rsidRPr="006B256B" w:rsidRDefault="006B256B" w:rsidP="006B256B">
      <w:pPr>
        <w:pStyle w:val="Default"/>
        <w:numPr>
          <w:ilvl w:val="0"/>
          <w:numId w:val="9"/>
        </w:numPr>
        <w:tabs>
          <w:tab w:val="left" w:pos="851"/>
        </w:tabs>
        <w:ind w:left="851" w:hanging="284"/>
        <w:jc w:val="both"/>
        <w:rPr>
          <w:rFonts w:ascii="Arial" w:hAnsi="Arial" w:cs="Arial"/>
        </w:rPr>
      </w:pPr>
      <w:r w:rsidRPr="006B256B">
        <w:rPr>
          <w:rFonts w:ascii="Arial" w:hAnsi="Arial" w:cs="Arial"/>
        </w:rPr>
        <w:t>Mnoho ze závěrů analýzy může mít za následek výrazný nárůst cen za zřízení služebností pro technickou infrastrukturu, což zejména pro výstavbu sítí elektronických komunikací může znamenat zastavení, či výrazné omezení, protože už nyní úhrady za služebnosti představují 25</w:t>
      </w:r>
      <w:r w:rsidR="00093C1E">
        <w:rPr>
          <w:rFonts w:ascii="Arial" w:hAnsi="Arial" w:cs="Arial"/>
        </w:rPr>
        <w:t xml:space="preserve"> </w:t>
      </w:r>
      <w:r w:rsidRPr="006B256B">
        <w:rPr>
          <w:rFonts w:ascii="Arial" w:hAnsi="Arial" w:cs="Arial"/>
        </w:rPr>
        <w:t>% až 50</w:t>
      </w:r>
      <w:r w:rsidR="00093C1E">
        <w:rPr>
          <w:rFonts w:ascii="Arial" w:hAnsi="Arial" w:cs="Arial"/>
        </w:rPr>
        <w:t xml:space="preserve"> </w:t>
      </w:r>
      <w:r w:rsidRPr="006B256B">
        <w:rPr>
          <w:rFonts w:ascii="Arial" w:hAnsi="Arial" w:cs="Arial"/>
        </w:rPr>
        <w:t>% veškerých nákladů na budování těchto sítí. To by pak mělo za následek výrazné zpomalení digitalizace státní správy a digitalizace průmyslových odvětví v ČR.</w:t>
      </w:r>
    </w:p>
    <w:p w:rsidR="006B256B" w:rsidRPr="006B256B" w:rsidRDefault="006B256B" w:rsidP="006B256B">
      <w:pPr>
        <w:pStyle w:val="Default"/>
        <w:numPr>
          <w:ilvl w:val="0"/>
          <w:numId w:val="9"/>
        </w:numPr>
        <w:tabs>
          <w:tab w:val="left" w:pos="851"/>
        </w:tabs>
        <w:ind w:left="851" w:hanging="284"/>
        <w:jc w:val="both"/>
        <w:rPr>
          <w:rFonts w:ascii="Arial" w:hAnsi="Arial" w:cs="Arial"/>
        </w:rPr>
      </w:pPr>
      <w:r w:rsidRPr="006B256B">
        <w:rPr>
          <w:rFonts w:ascii="Arial" w:hAnsi="Arial" w:cs="Arial"/>
        </w:rPr>
        <w:t>Analýza pak v mnoha ohledech doporučuje hradit vlastníkům další typy úhrad, které nejsou přímo spojené s omezením vlastnického práva na základě služebností (např. úhrada za geologický průzkum, za ochranné pásmo, za omezení užívání okolních pozemků, atd.). Zavádění jakýchkoliv dalších nákladu bude mít dopad na celkovou výstavbu všech inženýrských sítí a v neposlední řadě to zvýší ceny výsledných služeb, které jsou často regulovány na základě nákladových modelů</w:t>
      </w:r>
      <w:r w:rsidR="003A4DEC">
        <w:rPr>
          <w:rFonts w:ascii="Arial" w:hAnsi="Arial" w:cs="Arial"/>
        </w:rPr>
        <w:t xml:space="preserve"> z úrovně státních ne</w:t>
      </w:r>
      <w:r w:rsidR="00955A64">
        <w:rPr>
          <w:rFonts w:ascii="Arial" w:hAnsi="Arial" w:cs="Arial"/>
        </w:rPr>
        <w:t>závislých institucí (např. Ener</w:t>
      </w:r>
      <w:r w:rsidR="003A4DEC">
        <w:rPr>
          <w:rFonts w:ascii="Arial" w:hAnsi="Arial" w:cs="Arial"/>
        </w:rPr>
        <w:t>getický regulační úřad) a v</w:t>
      </w:r>
      <w:r w:rsidR="00955A64">
        <w:rPr>
          <w:rFonts w:ascii="Arial" w:hAnsi="Arial" w:cs="Arial"/>
        </w:rPr>
        <w:t>e výsledku</w:t>
      </w:r>
      <w:bookmarkStart w:id="0" w:name="_GoBack"/>
      <w:bookmarkEnd w:id="0"/>
      <w:r w:rsidR="003A4DEC">
        <w:rPr>
          <w:rFonts w:ascii="Arial" w:hAnsi="Arial" w:cs="Arial"/>
        </w:rPr>
        <w:t xml:space="preserve"> je formou poplatku za daný druh služby zaplatí konečný spotřebitel</w:t>
      </w:r>
      <w:r w:rsidRPr="006B256B">
        <w:rPr>
          <w:rFonts w:ascii="Arial" w:hAnsi="Arial" w:cs="Arial"/>
        </w:rPr>
        <w:t>.</w:t>
      </w:r>
    </w:p>
    <w:p w:rsidR="006B256B" w:rsidRPr="006B256B" w:rsidRDefault="006B256B" w:rsidP="006B256B">
      <w:pPr>
        <w:pStyle w:val="Default"/>
        <w:numPr>
          <w:ilvl w:val="0"/>
          <w:numId w:val="9"/>
        </w:numPr>
        <w:tabs>
          <w:tab w:val="left" w:pos="851"/>
        </w:tabs>
        <w:ind w:left="851" w:hanging="284"/>
        <w:jc w:val="both"/>
        <w:rPr>
          <w:rFonts w:ascii="Arial" w:hAnsi="Arial" w:cs="Arial"/>
        </w:rPr>
      </w:pPr>
      <w:r w:rsidRPr="006B256B">
        <w:rPr>
          <w:rFonts w:ascii="Arial" w:hAnsi="Arial" w:cs="Arial"/>
        </w:rPr>
        <w:t>Současně pak opatření, které preferují používání ceny obvyklé na úkor ceny zjištěné</w:t>
      </w:r>
      <w:r w:rsidR="003A4DEC">
        <w:rPr>
          <w:rFonts w:ascii="Arial" w:hAnsi="Arial" w:cs="Arial"/>
        </w:rPr>
        <w:t xml:space="preserve"> podle oceňovacího předpisu</w:t>
      </w:r>
      <w:r w:rsidRPr="006B256B">
        <w:rPr>
          <w:rFonts w:ascii="Arial" w:hAnsi="Arial" w:cs="Arial"/>
        </w:rPr>
        <w:t>, povedou k nárůstu počtu vyvlastňovacích řízení (bude docházet k většímu počtu rozdílných znaleckých posudků) a povede to ke zpomalení výstavby všech typů veřejné technické infrastruktury.</w:t>
      </w:r>
    </w:p>
    <w:p w:rsidR="006B256B" w:rsidRPr="006B256B" w:rsidRDefault="006B256B" w:rsidP="00590B02">
      <w:pPr>
        <w:jc w:val="both"/>
        <w:rPr>
          <w:rFonts w:ascii="Arial" w:hAnsi="Arial" w:cs="Arial"/>
          <w:sz w:val="24"/>
          <w:szCs w:val="24"/>
        </w:rPr>
      </w:pPr>
    </w:p>
    <w:p w:rsidR="009E52A5" w:rsidRDefault="009E52A5" w:rsidP="008E453A">
      <w:pPr>
        <w:rPr>
          <w:rFonts w:ascii="Arial" w:hAnsi="Arial" w:cs="Arial"/>
          <w:sz w:val="24"/>
          <w:szCs w:val="24"/>
        </w:rPr>
      </w:pPr>
    </w:p>
    <w:p w:rsidR="009E52A5" w:rsidRDefault="009E52A5" w:rsidP="008E453A">
      <w:pPr>
        <w:rPr>
          <w:rFonts w:ascii="Arial" w:hAnsi="Arial" w:cs="Arial"/>
          <w:sz w:val="24"/>
          <w:szCs w:val="24"/>
        </w:rPr>
      </w:pPr>
    </w:p>
    <w:p w:rsidR="009E52A5" w:rsidRDefault="009E52A5" w:rsidP="008E453A">
      <w:pPr>
        <w:rPr>
          <w:rFonts w:ascii="Arial" w:hAnsi="Arial" w:cs="Arial"/>
          <w:sz w:val="24"/>
          <w:szCs w:val="24"/>
        </w:rPr>
      </w:pPr>
    </w:p>
    <w:p w:rsidR="00590B02" w:rsidRDefault="00590B02" w:rsidP="008E453A">
      <w:pPr>
        <w:rPr>
          <w:rFonts w:ascii="Arial" w:hAnsi="Arial" w:cs="Arial"/>
          <w:sz w:val="24"/>
          <w:szCs w:val="24"/>
        </w:rPr>
      </w:pPr>
      <w:r w:rsidRPr="009E52A5">
        <w:rPr>
          <w:rFonts w:ascii="Arial" w:hAnsi="Arial" w:cs="Arial"/>
          <w:sz w:val="24"/>
          <w:szCs w:val="24"/>
        </w:rPr>
        <w:t>Praha</w:t>
      </w:r>
      <w:r w:rsidR="006B256B">
        <w:rPr>
          <w:rFonts w:ascii="Arial" w:hAnsi="Arial" w:cs="Arial"/>
          <w:sz w:val="24"/>
          <w:szCs w:val="24"/>
        </w:rPr>
        <w:t xml:space="preserve">, </w:t>
      </w:r>
      <w:r w:rsidR="003D2DD3">
        <w:rPr>
          <w:rFonts w:ascii="Arial" w:hAnsi="Arial" w:cs="Arial"/>
          <w:sz w:val="24"/>
          <w:szCs w:val="24"/>
        </w:rPr>
        <w:t>30</w:t>
      </w:r>
      <w:r w:rsidRPr="009E52A5">
        <w:rPr>
          <w:rFonts w:ascii="Arial" w:hAnsi="Arial" w:cs="Arial"/>
          <w:sz w:val="24"/>
          <w:szCs w:val="24"/>
        </w:rPr>
        <w:t xml:space="preserve">. </w:t>
      </w:r>
      <w:r w:rsidR="006B256B">
        <w:rPr>
          <w:rFonts w:ascii="Arial" w:hAnsi="Arial" w:cs="Arial"/>
          <w:sz w:val="24"/>
          <w:szCs w:val="24"/>
        </w:rPr>
        <w:t>8</w:t>
      </w:r>
      <w:r w:rsidRPr="009E52A5">
        <w:rPr>
          <w:rFonts w:ascii="Arial" w:hAnsi="Arial" w:cs="Arial"/>
          <w:sz w:val="24"/>
          <w:szCs w:val="24"/>
        </w:rPr>
        <w:t>. 2019</w:t>
      </w:r>
    </w:p>
    <w:p w:rsidR="00D556FC" w:rsidRDefault="00D556FC" w:rsidP="00CE1395">
      <w:pPr>
        <w:spacing w:after="120" w:line="288" w:lineRule="auto"/>
        <w:jc w:val="both"/>
        <w:rPr>
          <w:rFonts w:ascii="Arial" w:hAnsi="Arial" w:cs="Arial"/>
          <w:sz w:val="24"/>
          <w:szCs w:val="24"/>
        </w:rPr>
      </w:pPr>
    </w:p>
    <w:sectPr w:rsidR="00D556FC" w:rsidSect="00BD7768">
      <w:headerReference w:type="even" r:id="rId8"/>
      <w:headerReference w:type="default" r:id="rId9"/>
      <w:footerReference w:type="even" r:id="rId10"/>
      <w:footerReference w:type="default" r:id="rId11"/>
      <w:headerReference w:type="first" r:id="rId12"/>
      <w:footerReference w:type="first" r:id="rId13"/>
      <w:pgSz w:w="11906" w:h="16838" w:code="9"/>
      <w:pgMar w:top="1805" w:right="1133" w:bottom="851" w:left="1134" w:header="284" w:footer="546"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3FE9FE" w16cid:durableId="2059F15A"/>
  <w16cid:commentId w16cid:paraId="1900BCF9" w16cid:durableId="2059F15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46C" w:rsidRDefault="0062446C" w:rsidP="00BF2205">
      <w:pPr>
        <w:spacing w:after="0" w:line="240" w:lineRule="auto"/>
      </w:pPr>
      <w:r>
        <w:separator/>
      </w:r>
    </w:p>
  </w:endnote>
  <w:endnote w:type="continuationSeparator" w:id="0">
    <w:p w:rsidR="0062446C" w:rsidRDefault="0062446C" w:rsidP="00BF22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legreya Sans">
    <w:altName w:val="Alegreya Sans"/>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FD" w:rsidRDefault="00E13AFD">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88479"/>
      <w:docPartObj>
        <w:docPartGallery w:val="Page Numbers (Bottom of Page)"/>
        <w:docPartUnique/>
      </w:docPartObj>
    </w:sdtPr>
    <w:sdtEndPr>
      <w:rPr>
        <w:rFonts w:ascii="Arial" w:hAnsi="Arial" w:cs="Arial"/>
        <w:sz w:val="24"/>
        <w:szCs w:val="24"/>
      </w:rPr>
    </w:sdtEndPr>
    <w:sdtContent>
      <w:p w:rsidR="00DD5C3F" w:rsidRPr="005D2E45" w:rsidRDefault="00D438B2" w:rsidP="005D2E45">
        <w:pPr>
          <w:pStyle w:val="Zpat"/>
          <w:jc w:val="center"/>
          <w:rPr>
            <w:rFonts w:ascii="Arial" w:hAnsi="Arial" w:cs="Arial"/>
            <w:sz w:val="24"/>
            <w:szCs w:val="24"/>
          </w:rPr>
        </w:pPr>
        <w:r w:rsidRPr="005D2E45">
          <w:rPr>
            <w:rFonts w:ascii="Arial" w:hAnsi="Arial" w:cs="Arial"/>
            <w:sz w:val="24"/>
            <w:szCs w:val="24"/>
          </w:rPr>
          <w:fldChar w:fldCharType="begin"/>
        </w:r>
        <w:r w:rsidR="00DD5C3F" w:rsidRPr="005D2E45">
          <w:rPr>
            <w:rFonts w:ascii="Arial" w:hAnsi="Arial" w:cs="Arial"/>
            <w:sz w:val="24"/>
            <w:szCs w:val="24"/>
          </w:rPr>
          <w:instrText xml:space="preserve"> PAGE   \* MERGEFORMAT </w:instrText>
        </w:r>
        <w:r w:rsidRPr="005D2E45">
          <w:rPr>
            <w:rFonts w:ascii="Arial" w:hAnsi="Arial" w:cs="Arial"/>
            <w:sz w:val="24"/>
            <w:szCs w:val="24"/>
          </w:rPr>
          <w:fldChar w:fldCharType="separate"/>
        </w:r>
        <w:r w:rsidR="00E13AFD">
          <w:rPr>
            <w:rFonts w:ascii="Arial" w:hAnsi="Arial" w:cs="Arial"/>
            <w:noProof/>
            <w:sz w:val="24"/>
            <w:szCs w:val="24"/>
          </w:rPr>
          <w:t>3</w:t>
        </w:r>
        <w:r w:rsidRPr="005D2E45">
          <w:rPr>
            <w:rFonts w:ascii="Arial" w:hAnsi="Arial" w:cs="Arial"/>
            <w:sz w:val="24"/>
            <w:szCs w:val="24"/>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FD" w:rsidRPr="009C2AC1" w:rsidRDefault="00E13AFD" w:rsidP="00E13AFD">
    <w:pPr>
      <w:pStyle w:val="Zpat"/>
      <w:spacing w:before="240" w:line="360" w:lineRule="auto"/>
      <w:jc w:val="center"/>
      <w:rPr>
        <w:color w:val="BFBFBF"/>
        <w:sz w:val="20"/>
        <w:szCs w:val="20"/>
      </w:rPr>
    </w:pPr>
    <w:r w:rsidRPr="009C2AC1">
      <w:rPr>
        <w:color w:val="BFBFBF"/>
        <w:sz w:val="20"/>
        <w:szCs w:val="20"/>
      </w:rPr>
      <w:t>_________________________________________________________________________________</w:t>
    </w:r>
  </w:p>
  <w:p w:rsidR="00E13AFD" w:rsidRPr="009C2AC1" w:rsidRDefault="00E13AFD" w:rsidP="00E13AFD">
    <w:pPr>
      <w:pStyle w:val="Zpat"/>
      <w:spacing w:line="276" w:lineRule="auto"/>
      <w:jc w:val="center"/>
      <w:rPr>
        <w:color w:val="808080"/>
        <w:sz w:val="18"/>
        <w:szCs w:val="18"/>
      </w:rPr>
    </w:pPr>
    <w:r w:rsidRPr="009C2AC1">
      <w:rPr>
        <w:b/>
        <w:color w:val="808080"/>
        <w:sz w:val="18"/>
        <w:szCs w:val="18"/>
      </w:rPr>
      <w:t>Český plynárenský svaz</w:t>
    </w:r>
    <w:r w:rsidRPr="009C2AC1">
      <w:rPr>
        <w:color w:val="808080"/>
        <w:sz w:val="18"/>
        <w:szCs w:val="18"/>
      </w:rPr>
      <w:t xml:space="preserve">, U Plynárny 223/42, </w:t>
    </w:r>
    <w:proofErr w:type="gramStart"/>
    <w:r w:rsidRPr="009C2AC1">
      <w:rPr>
        <w:color w:val="808080"/>
        <w:sz w:val="18"/>
        <w:szCs w:val="18"/>
      </w:rPr>
      <w:t xml:space="preserve">140 </w:t>
    </w:r>
    <w:r>
      <w:rPr>
        <w:color w:val="808080"/>
        <w:sz w:val="18"/>
        <w:szCs w:val="18"/>
      </w:rPr>
      <w:t>00</w:t>
    </w:r>
    <w:r w:rsidRPr="009C2AC1">
      <w:rPr>
        <w:color w:val="808080"/>
        <w:sz w:val="18"/>
        <w:szCs w:val="18"/>
      </w:rPr>
      <w:t xml:space="preserve">  Praha</w:t>
    </w:r>
    <w:proofErr w:type="gramEnd"/>
    <w:r w:rsidRPr="009C2AC1">
      <w:rPr>
        <w:color w:val="808080"/>
        <w:sz w:val="18"/>
        <w:szCs w:val="18"/>
      </w:rPr>
      <w:t xml:space="preserve"> 4</w:t>
    </w:r>
    <w:r w:rsidRPr="009C2AC1">
      <w:rPr>
        <w:color w:val="808080"/>
        <w:sz w:val="18"/>
        <w:szCs w:val="18"/>
      </w:rPr>
      <w:br/>
      <w:t>ČSOB, a.</w:t>
    </w:r>
    <w:r>
      <w:rPr>
        <w:color w:val="808080"/>
        <w:sz w:val="18"/>
        <w:szCs w:val="18"/>
      </w:rPr>
      <w:t xml:space="preserve"> </w:t>
    </w:r>
    <w:r w:rsidRPr="009C2AC1">
      <w:rPr>
        <w:color w:val="808080"/>
        <w:sz w:val="18"/>
        <w:szCs w:val="18"/>
      </w:rPr>
      <w:t>s. - č.</w:t>
    </w:r>
    <w:r>
      <w:rPr>
        <w:color w:val="808080"/>
        <w:sz w:val="18"/>
        <w:szCs w:val="18"/>
      </w:rPr>
      <w:t xml:space="preserve"> </w:t>
    </w:r>
    <w:proofErr w:type="spellStart"/>
    <w:r>
      <w:rPr>
        <w:color w:val="808080"/>
        <w:sz w:val="18"/>
        <w:szCs w:val="18"/>
      </w:rPr>
      <w:t>ú</w:t>
    </w:r>
    <w:proofErr w:type="spellEnd"/>
    <w:r>
      <w:rPr>
        <w:color w:val="808080"/>
        <w:sz w:val="18"/>
        <w:szCs w:val="18"/>
      </w:rPr>
      <w:t>.: 17478393/0300, IČO</w:t>
    </w:r>
    <w:r w:rsidRPr="009C2AC1">
      <w:rPr>
        <w:color w:val="808080"/>
        <w:sz w:val="18"/>
        <w:szCs w:val="18"/>
      </w:rPr>
      <w:t xml:space="preserve">: 00409928, DIČ: </w:t>
    </w:r>
    <w:proofErr w:type="spellStart"/>
    <w:r w:rsidRPr="009C2AC1">
      <w:rPr>
        <w:color w:val="808080"/>
        <w:sz w:val="18"/>
        <w:szCs w:val="18"/>
      </w:rPr>
      <w:t>CZ00409928</w:t>
    </w:r>
    <w:proofErr w:type="spellEnd"/>
    <w:r w:rsidRPr="009C2AC1">
      <w:rPr>
        <w:color w:val="808080"/>
        <w:sz w:val="18"/>
        <w:szCs w:val="18"/>
      </w:rPr>
      <w:br/>
      <w:t xml:space="preserve">Tel.: +420 222 518 811, e-mail: </w:t>
    </w:r>
    <w:hyperlink r:id="rId1" w:history="1">
      <w:proofErr w:type="spellStart"/>
      <w:r w:rsidRPr="009C2AC1">
        <w:rPr>
          <w:rStyle w:val="Hypertextovodkaz"/>
          <w:color w:val="808080"/>
          <w:sz w:val="18"/>
          <w:szCs w:val="18"/>
        </w:rPr>
        <w:t>cpsvaz</w:t>
      </w:r>
      <w:proofErr w:type="spellEnd"/>
      <w:r w:rsidRPr="009C2AC1">
        <w:rPr>
          <w:rStyle w:val="Hypertextovodkaz"/>
          <w:color w:val="808080"/>
          <w:sz w:val="18"/>
          <w:szCs w:val="18"/>
        </w:rPr>
        <w:t>@</w:t>
      </w:r>
      <w:proofErr w:type="spellStart"/>
      <w:r w:rsidRPr="009C2AC1">
        <w:rPr>
          <w:rStyle w:val="Hypertextovodkaz"/>
          <w:color w:val="808080"/>
          <w:sz w:val="18"/>
          <w:szCs w:val="18"/>
        </w:rPr>
        <w:t>cgoa.cz</w:t>
      </w:r>
      <w:proofErr w:type="spellEnd"/>
    </w:hyperlink>
    <w:r w:rsidRPr="009C2AC1">
      <w:rPr>
        <w:color w:val="808080"/>
        <w:sz w:val="18"/>
        <w:szCs w:val="18"/>
      </w:rPr>
      <w:t>, ekonom: +420 241 049 724</w:t>
    </w:r>
  </w:p>
  <w:p w:rsidR="00E13AFD" w:rsidRPr="009C2AC1" w:rsidRDefault="00E13AFD" w:rsidP="00E13AFD">
    <w:pPr>
      <w:pStyle w:val="Zpat"/>
      <w:spacing w:line="276" w:lineRule="auto"/>
      <w:jc w:val="center"/>
      <w:rPr>
        <w:color w:val="1F497D"/>
        <w:sz w:val="18"/>
        <w:szCs w:val="18"/>
      </w:rPr>
    </w:pPr>
    <w:r w:rsidRPr="009C2AC1">
      <w:rPr>
        <w:color w:val="808080"/>
        <w:sz w:val="18"/>
        <w:szCs w:val="18"/>
      </w:rPr>
      <w:t xml:space="preserve">Časopis PLYN: tel.: +420 241 049 722, e-mail: </w:t>
    </w:r>
    <w:hyperlink r:id="rId2" w:history="1">
      <w:r w:rsidRPr="009C2AC1">
        <w:rPr>
          <w:rStyle w:val="Hypertextovodkaz"/>
          <w:color w:val="808080"/>
          <w:sz w:val="18"/>
          <w:szCs w:val="18"/>
        </w:rPr>
        <w:t>plyn@</w:t>
      </w:r>
      <w:proofErr w:type="spellStart"/>
      <w:r w:rsidRPr="009C2AC1">
        <w:rPr>
          <w:rStyle w:val="Hypertextovodkaz"/>
          <w:color w:val="808080"/>
          <w:sz w:val="18"/>
          <w:szCs w:val="18"/>
        </w:rPr>
        <w:t>cgoa.cz</w:t>
      </w:r>
      <w:proofErr w:type="spellEnd"/>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46C" w:rsidRDefault="0062446C" w:rsidP="00BF2205">
      <w:pPr>
        <w:spacing w:after="0" w:line="240" w:lineRule="auto"/>
      </w:pPr>
      <w:r>
        <w:separator/>
      </w:r>
    </w:p>
  </w:footnote>
  <w:footnote w:type="continuationSeparator" w:id="0">
    <w:p w:rsidR="0062446C" w:rsidRDefault="0062446C" w:rsidP="00BF22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FD" w:rsidRDefault="00E13AFD">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FD" w:rsidRDefault="00E13AFD">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C3F" w:rsidRDefault="00DD5C3F" w:rsidP="00BF2205">
    <w:pPr>
      <w:pStyle w:val="Zhlav"/>
      <w:jc w:val="center"/>
    </w:pPr>
    <w:r w:rsidRPr="00BF2205">
      <w:rPr>
        <w:noProof/>
      </w:rPr>
      <w:drawing>
        <wp:inline distT="0" distB="0" distL="0" distR="0">
          <wp:extent cx="2819400" cy="761461"/>
          <wp:effectExtent l="19050" t="0" r="0" b="0"/>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34367" cy="76550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654FB"/>
    <w:multiLevelType w:val="hybridMultilevel"/>
    <w:tmpl w:val="9908383A"/>
    <w:lvl w:ilvl="0" w:tplc="6DC47C00">
      <w:start w:val="1"/>
      <w:numFmt w:val="bullet"/>
      <w:lvlText w:val=""/>
      <w:lvlJc w:val="left"/>
      <w:pPr>
        <w:ind w:left="720" w:hanging="360"/>
      </w:pPr>
      <w:rPr>
        <w:rFonts w:ascii="Symbol" w:eastAsiaTheme="minorEastAsia"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DBB6028"/>
    <w:multiLevelType w:val="hybridMultilevel"/>
    <w:tmpl w:val="632C268E"/>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nsid w:val="26E85E83"/>
    <w:multiLevelType w:val="multilevel"/>
    <w:tmpl w:val="65805812"/>
    <w:lvl w:ilvl="0">
      <w:start w:val="1"/>
      <w:numFmt w:val="none"/>
      <w:isLgl/>
      <w:suff w:val="nothing"/>
      <w:lvlText w:val=""/>
      <w:lvlJc w:val="left"/>
      <w:pPr>
        <w:ind w:left="0" w:firstLine="0"/>
      </w:pPr>
    </w:lvl>
    <w:lvl w:ilvl="1">
      <w:start w:val="1"/>
      <w:numFmt w:val="none"/>
      <w:lvlRestart w:val="0"/>
      <w:suff w:val="nothing"/>
      <w:lvlText w:val=""/>
      <w:lvlJc w:val="left"/>
      <w:pPr>
        <w:ind w:left="0" w:firstLine="0"/>
      </w:pPr>
    </w:lvl>
    <w:lvl w:ilvl="2">
      <w:start w:val="1"/>
      <w:numFmt w:val="decimal"/>
      <w:isLgl/>
      <w:lvlText w:val="(%3)"/>
      <w:lvlJc w:val="left"/>
      <w:pPr>
        <w:tabs>
          <w:tab w:val="num" w:pos="782"/>
        </w:tabs>
        <w:ind w:left="0" w:firstLine="425"/>
      </w:pPr>
    </w:lvl>
    <w:lvl w:ilvl="3">
      <w:start w:val="1"/>
      <w:numFmt w:val="lowerLetter"/>
      <w:lvlText w:val="%4)"/>
      <w:lvlJc w:val="left"/>
      <w:pPr>
        <w:tabs>
          <w:tab w:val="num" w:pos="425"/>
        </w:tabs>
        <w:ind w:left="425" w:hanging="425"/>
      </w:pPr>
    </w:lvl>
    <w:lvl w:ilvl="4">
      <w:start w:val="1"/>
      <w:numFmt w:val="decimal"/>
      <w:isLgl/>
      <w:lvlText w:val="%5."/>
      <w:lvlJc w:val="left"/>
      <w:pPr>
        <w:tabs>
          <w:tab w:val="num" w:pos="851"/>
        </w:tabs>
        <w:ind w:left="851" w:hanging="426"/>
      </w:pPr>
    </w:lvl>
    <w:lvl w:ilvl="5">
      <w:start w:val="1"/>
      <w:numFmt w:val="none"/>
      <w:suff w:val="nothing"/>
      <w:lvlText w:val="%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52B4521"/>
    <w:multiLevelType w:val="hybridMultilevel"/>
    <w:tmpl w:val="6B949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D6C699F"/>
    <w:multiLevelType w:val="hybridMultilevel"/>
    <w:tmpl w:val="835A8BC6"/>
    <w:lvl w:ilvl="0" w:tplc="9886B104">
      <w:start w:val="1"/>
      <w:numFmt w:val="bullet"/>
      <w:lvlText w:val=""/>
      <w:lvlJc w:val="left"/>
      <w:pPr>
        <w:ind w:left="720" w:hanging="360"/>
      </w:pPr>
      <w:rPr>
        <w:rFonts w:ascii="Symbol" w:eastAsiaTheme="minorEastAsia"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C142655"/>
    <w:multiLevelType w:val="hybridMultilevel"/>
    <w:tmpl w:val="FE5A76A2"/>
    <w:lvl w:ilvl="0" w:tplc="5080C44A">
      <w:numFmt w:val="bullet"/>
      <w:lvlText w:val="-"/>
      <w:lvlJc w:val="left"/>
      <w:pPr>
        <w:ind w:left="1068" w:hanging="360"/>
      </w:pPr>
      <w:rPr>
        <w:rFonts w:ascii="Calibri" w:eastAsiaTheme="minorHAnsi"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nsid w:val="679A4D62"/>
    <w:multiLevelType w:val="hybridMultilevel"/>
    <w:tmpl w:val="096AA14E"/>
    <w:lvl w:ilvl="0" w:tplc="FD30A8C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86D5ED5"/>
    <w:multiLevelType w:val="hybridMultilevel"/>
    <w:tmpl w:val="BCF230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AFF56AE"/>
    <w:multiLevelType w:val="hybridMultilevel"/>
    <w:tmpl w:val="11765A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3"/>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jgl">
    <w15:presenceInfo w15:providerId="None" w15:userId="Fejg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FB1089"/>
    <w:rsid w:val="00003994"/>
    <w:rsid w:val="00007F68"/>
    <w:rsid w:val="00007FC9"/>
    <w:rsid w:val="00013F18"/>
    <w:rsid w:val="000156A4"/>
    <w:rsid w:val="00030B4B"/>
    <w:rsid w:val="00044D07"/>
    <w:rsid w:val="0006035E"/>
    <w:rsid w:val="00070E53"/>
    <w:rsid w:val="00071B2E"/>
    <w:rsid w:val="00073F59"/>
    <w:rsid w:val="00074A58"/>
    <w:rsid w:val="00075504"/>
    <w:rsid w:val="00085134"/>
    <w:rsid w:val="0009020F"/>
    <w:rsid w:val="00093C1E"/>
    <w:rsid w:val="0009706E"/>
    <w:rsid w:val="000A2F1E"/>
    <w:rsid w:val="000B05C6"/>
    <w:rsid w:val="000B5363"/>
    <w:rsid w:val="000C0A1F"/>
    <w:rsid w:val="000C535F"/>
    <w:rsid w:val="000D243D"/>
    <w:rsid w:val="000E12F0"/>
    <w:rsid w:val="000F3E85"/>
    <w:rsid w:val="000F4E1B"/>
    <w:rsid w:val="00106C8A"/>
    <w:rsid w:val="00117D55"/>
    <w:rsid w:val="001332F9"/>
    <w:rsid w:val="00134C1F"/>
    <w:rsid w:val="001413E0"/>
    <w:rsid w:val="00150112"/>
    <w:rsid w:val="001522E5"/>
    <w:rsid w:val="001677B5"/>
    <w:rsid w:val="00167965"/>
    <w:rsid w:val="00170C55"/>
    <w:rsid w:val="00176109"/>
    <w:rsid w:val="00180E49"/>
    <w:rsid w:val="001850B0"/>
    <w:rsid w:val="00185118"/>
    <w:rsid w:val="001B5236"/>
    <w:rsid w:val="001B584B"/>
    <w:rsid w:val="001C6699"/>
    <w:rsid w:val="001C791C"/>
    <w:rsid w:val="001D6005"/>
    <w:rsid w:val="001E5860"/>
    <w:rsid w:val="001E5A97"/>
    <w:rsid w:val="001F67F8"/>
    <w:rsid w:val="0020399D"/>
    <w:rsid w:val="002165AB"/>
    <w:rsid w:val="00226B19"/>
    <w:rsid w:val="00231A35"/>
    <w:rsid w:val="00246E6A"/>
    <w:rsid w:val="00250186"/>
    <w:rsid w:val="002552AD"/>
    <w:rsid w:val="0026061A"/>
    <w:rsid w:val="00264690"/>
    <w:rsid w:val="00264B96"/>
    <w:rsid w:val="00281F8D"/>
    <w:rsid w:val="0028509D"/>
    <w:rsid w:val="002A14B3"/>
    <w:rsid w:val="002B4A53"/>
    <w:rsid w:val="002C3E4D"/>
    <w:rsid w:val="002C3FFC"/>
    <w:rsid w:val="002E2830"/>
    <w:rsid w:val="002E2CC4"/>
    <w:rsid w:val="002F2096"/>
    <w:rsid w:val="002F6080"/>
    <w:rsid w:val="003015A0"/>
    <w:rsid w:val="00306367"/>
    <w:rsid w:val="00317B26"/>
    <w:rsid w:val="00323B93"/>
    <w:rsid w:val="003327F2"/>
    <w:rsid w:val="00335B60"/>
    <w:rsid w:val="00341E10"/>
    <w:rsid w:val="003444E8"/>
    <w:rsid w:val="00352E5B"/>
    <w:rsid w:val="00353155"/>
    <w:rsid w:val="003700E8"/>
    <w:rsid w:val="00370280"/>
    <w:rsid w:val="0037085F"/>
    <w:rsid w:val="00376EA8"/>
    <w:rsid w:val="00387877"/>
    <w:rsid w:val="003903BE"/>
    <w:rsid w:val="00391CC2"/>
    <w:rsid w:val="00393DFA"/>
    <w:rsid w:val="00395D9E"/>
    <w:rsid w:val="00397890"/>
    <w:rsid w:val="003A20B0"/>
    <w:rsid w:val="003A4DEC"/>
    <w:rsid w:val="003B0D73"/>
    <w:rsid w:val="003C387B"/>
    <w:rsid w:val="003C6197"/>
    <w:rsid w:val="003D03F8"/>
    <w:rsid w:val="003D29A2"/>
    <w:rsid w:val="003D2DD3"/>
    <w:rsid w:val="003D5B23"/>
    <w:rsid w:val="003E41C8"/>
    <w:rsid w:val="003F1F56"/>
    <w:rsid w:val="003F5C50"/>
    <w:rsid w:val="00407AAD"/>
    <w:rsid w:val="00410368"/>
    <w:rsid w:val="00425F0F"/>
    <w:rsid w:val="00430715"/>
    <w:rsid w:val="004324C9"/>
    <w:rsid w:val="00434590"/>
    <w:rsid w:val="00446757"/>
    <w:rsid w:val="00452A7A"/>
    <w:rsid w:val="00453370"/>
    <w:rsid w:val="00453DED"/>
    <w:rsid w:val="00467275"/>
    <w:rsid w:val="00470B4B"/>
    <w:rsid w:val="004713B5"/>
    <w:rsid w:val="004758DA"/>
    <w:rsid w:val="004770A9"/>
    <w:rsid w:val="0049332E"/>
    <w:rsid w:val="00497A5A"/>
    <w:rsid w:val="004A2CED"/>
    <w:rsid w:val="004A72EC"/>
    <w:rsid w:val="004B632F"/>
    <w:rsid w:val="004D24C2"/>
    <w:rsid w:val="004D6BA6"/>
    <w:rsid w:val="004F0FEF"/>
    <w:rsid w:val="004F1F96"/>
    <w:rsid w:val="004F500E"/>
    <w:rsid w:val="004F517C"/>
    <w:rsid w:val="005015C5"/>
    <w:rsid w:val="00506824"/>
    <w:rsid w:val="00507EA7"/>
    <w:rsid w:val="00513661"/>
    <w:rsid w:val="00515263"/>
    <w:rsid w:val="00526E48"/>
    <w:rsid w:val="00552AF4"/>
    <w:rsid w:val="00555B57"/>
    <w:rsid w:val="00561794"/>
    <w:rsid w:val="00562211"/>
    <w:rsid w:val="00573B8E"/>
    <w:rsid w:val="00576C9B"/>
    <w:rsid w:val="00580AB1"/>
    <w:rsid w:val="00585489"/>
    <w:rsid w:val="00590B02"/>
    <w:rsid w:val="0059361A"/>
    <w:rsid w:val="005967DE"/>
    <w:rsid w:val="005C1B1C"/>
    <w:rsid w:val="005C3C5A"/>
    <w:rsid w:val="005C439B"/>
    <w:rsid w:val="005C7166"/>
    <w:rsid w:val="005D251C"/>
    <w:rsid w:val="005D2E45"/>
    <w:rsid w:val="005D507B"/>
    <w:rsid w:val="005F448B"/>
    <w:rsid w:val="0060090C"/>
    <w:rsid w:val="00606420"/>
    <w:rsid w:val="00613BAE"/>
    <w:rsid w:val="0061723C"/>
    <w:rsid w:val="00621567"/>
    <w:rsid w:val="00622087"/>
    <w:rsid w:val="006238D6"/>
    <w:rsid w:val="0062446C"/>
    <w:rsid w:val="00637EFC"/>
    <w:rsid w:val="00644361"/>
    <w:rsid w:val="0065087E"/>
    <w:rsid w:val="00653F40"/>
    <w:rsid w:val="006571A9"/>
    <w:rsid w:val="00662015"/>
    <w:rsid w:val="00663049"/>
    <w:rsid w:val="00667DF1"/>
    <w:rsid w:val="00670C9A"/>
    <w:rsid w:val="00674408"/>
    <w:rsid w:val="006940CC"/>
    <w:rsid w:val="00697B19"/>
    <w:rsid w:val="006B256B"/>
    <w:rsid w:val="006D3111"/>
    <w:rsid w:val="006F74EA"/>
    <w:rsid w:val="006F7A52"/>
    <w:rsid w:val="007042B9"/>
    <w:rsid w:val="00706680"/>
    <w:rsid w:val="00707429"/>
    <w:rsid w:val="00713844"/>
    <w:rsid w:val="007211D3"/>
    <w:rsid w:val="00723DE5"/>
    <w:rsid w:val="00743B41"/>
    <w:rsid w:val="00745729"/>
    <w:rsid w:val="00746555"/>
    <w:rsid w:val="00751766"/>
    <w:rsid w:val="00766CD5"/>
    <w:rsid w:val="00766FE3"/>
    <w:rsid w:val="00774D70"/>
    <w:rsid w:val="00776768"/>
    <w:rsid w:val="00785100"/>
    <w:rsid w:val="007928EB"/>
    <w:rsid w:val="00793278"/>
    <w:rsid w:val="007A280E"/>
    <w:rsid w:val="007B5AC6"/>
    <w:rsid w:val="007C5F94"/>
    <w:rsid w:val="007C6E65"/>
    <w:rsid w:val="007D0EDF"/>
    <w:rsid w:val="007D1BD2"/>
    <w:rsid w:val="007D64AB"/>
    <w:rsid w:val="007F3A82"/>
    <w:rsid w:val="007F7FA2"/>
    <w:rsid w:val="00802893"/>
    <w:rsid w:val="00804E7A"/>
    <w:rsid w:val="00813081"/>
    <w:rsid w:val="00816061"/>
    <w:rsid w:val="008236F7"/>
    <w:rsid w:val="00823BE0"/>
    <w:rsid w:val="0083180D"/>
    <w:rsid w:val="0083302A"/>
    <w:rsid w:val="008357DE"/>
    <w:rsid w:val="00837F46"/>
    <w:rsid w:val="00842812"/>
    <w:rsid w:val="00842941"/>
    <w:rsid w:val="00844484"/>
    <w:rsid w:val="0084671C"/>
    <w:rsid w:val="00861E77"/>
    <w:rsid w:val="00871D4D"/>
    <w:rsid w:val="00872308"/>
    <w:rsid w:val="008726B9"/>
    <w:rsid w:val="00875732"/>
    <w:rsid w:val="00881C62"/>
    <w:rsid w:val="008931AF"/>
    <w:rsid w:val="008A20F2"/>
    <w:rsid w:val="008A39C1"/>
    <w:rsid w:val="008A4DA4"/>
    <w:rsid w:val="008A5215"/>
    <w:rsid w:val="008A7EC6"/>
    <w:rsid w:val="008B7479"/>
    <w:rsid w:val="008C1E67"/>
    <w:rsid w:val="008D347D"/>
    <w:rsid w:val="008D7B7D"/>
    <w:rsid w:val="008E453A"/>
    <w:rsid w:val="008E5402"/>
    <w:rsid w:val="009140DC"/>
    <w:rsid w:val="0091708E"/>
    <w:rsid w:val="00931897"/>
    <w:rsid w:val="00932654"/>
    <w:rsid w:val="00933637"/>
    <w:rsid w:val="00935FC2"/>
    <w:rsid w:val="00937120"/>
    <w:rsid w:val="009434DD"/>
    <w:rsid w:val="00947D2A"/>
    <w:rsid w:val="00955A64"/>
    <w:rsid w:val="00963599"/>
    <w:rsid w:val="00970D8C"/>
    <w:rsid w:val="00972521"/>
    <w:rsid w:val="00993AE4"/>
    <w:rsid w:val="00994322"/>
    <w:rsid w:val="009A02EF"/>
    <w:rsid w:val="009B207A"/>
    <w:rsid w:val="009B267E"/>
    <w:rsid w:val="009B3B0C"/>
    <w:rsid w:val="009B68CA"/>
    <w:rsid w:val="009C4B35"/>
    <w:rsid w:val="009D10DE"/>
    <w:rsid w:val="009D11B6"/>
    <w:rsid w:val="009D1AF0"/>
    <w:rsid w:val="009D44BA"/>
    <w:rsid w:val="009E0D44"/>
    <w:rsid w:val="009E15D4"/>
    <w:rsid w:val="009E52A5"/>
    <w:rsid w:val="009E6402"/>
    <w:rsid w:val="009F3A79"/>
    <w:rsid w:val="00A06C79"/>
    <w:rsid w:val="00A12739"/>
    <w:rsid w:val="00A132FF"/>
    <w:rsid w:val="00A15687"/>
    <w:rsid w:val="00A23AD2"/>
    <w:rsid w:val="00A46290"/>
    <w:rsid w:val="00A55CC0"/>
    <w:rsid w:val="00A6152D"/>
    <w:rsid w:val="00A75627"/>
    <w:rsid w:val="00A833D4"/>
    <w:rsid w:val="00A83F0D"/>
    <w:rsid w:val="00A852DC"/>
    <w:rsid w:val="00A95CC5"/>
    <w:rsid w:val="00A963A0"/>
    <w:rsid w:val="00AA300B"/>
    <w:rsid w:val="00AB7877"/>
    <w:rsid w:val="00AC1999"/>
    <w:rsid w:val="00AC2CB3"/>
    <w:rsid w:val="00AC4430"/>
    <w:rsid w:val="00AD0BEE"/>
    <w:rsid w:val="00AE7BF6"/>
    <w:rsid w:val="00AF7067"/>
    <w:rsid w:val="00B01C45"/>
    <w:rsid w:val="00B21DAF"/>
    <w:rsid w:val="00B255A4"/>
    <w:rsid w:val="00B25FFC"/>
    <w:rsid w:val="00B37A55"/>
    <w:rsid w:val="00B52825"/>
    <w:rsid w:val="00B53CAC"/>
    <w:rsid w:val="00B5710B"/>
    <w:rsid w:val="00B57CC1"/>
    <w:rsid w:val="00B617BC"/>
    <w:rsid w:val="00B63787"/>
    <w:rsid w:val="00B64BEA"/>
    <w:rsid w:val="00B6535F"/>
    <w:rsid w:val="00B73276"/>
    <w:rsid w:val="00B80B2F"/>
    <w:rsid w:val="00B90EAF"/>
    <w:rsid w:val="00BA4089"/>
    <w:rsid w:val="00BB4A5F"/>
    <w:rsid w:val="00BB580B"/>
    <w:rsid w:val="00BD4DEF"/>
    <w:rsid w:val="00BD54A4"/>
    <w:rsid w:val="00BD7768"/>
    <w:rsid w:val="00BE425B"/>
    <w:rsid w:val="00BF2205"/>
    <w:rsid w:val="00BF32B8"/>
    <w:rsid w:val="00C003F6"/>
    <w:rsid w:val="00C02D00"/>
    <w:rsid w:val="00C055C3"/>
    <w:rsid w:val="00C20F52"/>
    <w:rsid w:val="00C25559"/>
    <w:rsid w:val="00C25B4C"/>
    <w:rsid w:val="00C361D6"/>
    <w:rsid w:val="00C369AA"/>
    <w:rsid w:val="00C37FCA"/>
    <w:rsid w:val="00C52A8F"/>
    <w:rsid w:val="00C52E20"/>
    <w:rsid w:val="00C70219"/>
    <w:rsid w:val="00C81EE0"/>
    <w:rsid w:val="00C824DD"/>
    <w:rsid w:val="00C8333D"/>
    <w:rsid w:val="00C8355D"/>
    <w:rsid w:val="00C842B7"/>
    <w:rsid w:val="00C94B8C"/>
    <w:rsid w:val="00C97EFF"/>
    <w:rsid w:val="00CB103B"/>
    <w:rsid w:val="00CC3EBB"/>
    <w:rsid w:val="00CD2842"/>
    <w:rsid w:val="00CD79DD"/>
    <w:rsid w:val="00CE1395"/>
    <w:rsid w:val="00CE1A24"/>
    <w:rsid w:val="00CE3EF1"/>
    <w:rsid w:val="00CE57A0"/>
    <w:rsid w:val="00CF46E8"/>
    <w:rsid w:val="00CF6902"/>
    <w:rsid w:val="00D0516F"/>
    <w:rsid w:val="00D1414F"/>
    <w:rsid w:val="00D1510D"/>
    <w:rsid w:val="00D23733"/>
    <w:rsid w:val="00D26C8D"/>
    <w:rsid w:val="00D364B7"/>
    <w:rsid w:val="00D41BCF"/>
    <w:rsid w:val="00D438B2"/>
    <w:rsid w:val="00D53643"/>
    <w:rsid w:val="00D556FC"/>
    <w:rsid w:val="00D56B4C"/>
    <w:rsid w:val="00D62177"/>
    <w:rsid w:val="00D636E4"/>
    <w:rsid w:val="00D664B3"/>
    <w:rsid w:val="00D707F3"/>
    <w:rsid w:val="00D801D1"/>
    <w:rsid w:val="00D874F1"/>
    <w:rsid w:val="00D9146B"/>
    <w:rsid w:val="00D914F9"/>
    <w:rsid w:val="00D940EA"/>
    <w:rsid w:val="00D970A5"/>
    <w:rsid w:val="00DA5809"/>
    <w:rsid w:val="00DB31CA"/>
    <w:rsid w:val="00DB3DE2"/>
    <w:rsid w:val="00DB4A2A"/>
    <w:rsid w:val="00DB714E"/>
    <w:rsid w:val="00DD0428"/>
    <w:rsid w:val="00DD511D"/>
    <w:rsid w:val="00DD56D4"/>
    <w:rsid w:val="00DD5C3F"/>
    <w:rsid w:val="00DD750B"/>
    <w:rsid w:val="00DE59DF"/>
    <w:rsid w:val="00DE6153"/>
    <w:rsid w:val="00DF668B"/>
    <w:rsid w:val="00DF7C72"/>
    <w:rsid w:val="00E00183"/>
    <w:rsid w:val="00E015D7"/>
    <w:rsid w:val="00E06499"/>
    <w:rsid w:val="00E13AFD"/>
    <w:rsid w:val="00E13BB8"/>
    <w:rsid w:val="00E15422"/>
    <w:rsid w:val="00E22F7C"/>
    <w:rsid w:val="00E262FA"/>
    <w:rsid w:val="00E31E47"/>
    <w:rsid w:val="00E4738B"/>
    <w:rsid w:val="00E637B2"/>
    <w:rsid w:val="00E6543E"/>
    <w:rsid w:val="00E769FD"/>
    <w:rsid w:val="00E83816"/>
    <w:rsid w:val="00E9133E"/>
    <w:rsid w:val="00E96441"/>
    <w:rsid w:val="00EB1FC4"/>
    <w:rsid w:val="00EC0A99"/>
    <w:rsid w:val="00EC4E17"/>
    <w:rsid w:val="00ED165F"/>
    <w:rsid w:val="00ED48C2"/>
    <w:rsid w:val="00EF503A"/>
    <w:rsid w:val="00EF6351"/>
    <w:rsid w:val="00EF74A6"/>
    <w:rsid w:val="00F07991"/>
    <w:rsid w:val="00F11DD6"/>
    <w:rsid w:val="00F1587F"/>
    <w:rsid w:val="00F23C68"/>
    <w:rsid w:val="00F25C98"/>
    <w:rsid w:val="00F32A57"/>
    <w:rsid w:val="00F439FC"/>
    <w:rsid w:val="00F50813"/>
    <w:rsid w:val="00F54C8E"/>
    <w:rsid w:val="00F60085"/>
    <w:rsid w:val="00F677DE"/>
    <w:rsid w:val="00F811D5"/>
    <w:rsid w:val="00F82827"/>
    <w:rsid w:val="00F92382"/>
    <w:rsid w:val="00F94744"/>
    <w:rsid w:val="00F96106"/>
    <w:rsid w:val="00F97AD1"/>
    <w:rsid w:val="00FA4909"/>
    <w:rsid w:val="00FB1089"/>
    <w:rsid w:val="00FB4361"/>
    <w:rsid w:val="00FB7B01"/>
    <w:rsid w:val="00FC1100"/>
    <w:rsid w:val="00FC2184"/>
    <w:rsid w:val="00FC31EC"/>
    <w:rsid w:val="00FC6E6A"/>
    <w:rsid w:val="00FD6C7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103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63787"/>
    <w:pPr>
      <w:ind w:left="720"/>
      <w:contextualSpacing/>
    </w:pPr>
  </w:style>
  <w:style w:type="paragraph" w:styleId="Zhlav">
    <w:name w:val="header"/>
    <w:basedOn w:val="Normln"/>
    <w:link w:val="ZhlavChar"/>
    <w:uiPriority w:val="99"/>
    <w:semiHidden/>
    <w:unhideWhenUsed/>
    <w:rsid w:val="00BF220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F2205"/>
  </w:style>
  <w:style w:type="paragraph" w:styleId="Zpat">
    <w:name w:val="footer"/>
    <w:basedOn w:val="Normln"/>
    <w:link w:val="ZpatChar"/>
    <w:unhideWhenUsed/>
    <w:rsid w:val="00BF2205"/>
    <w:pPr>
      <w:tabs>
        <w:tab w:val="center" w:pos="4536"/>
        <w:tab w:val="right" w:pos="9072"/>
      </w:tabs>
      <w:spacing w:after="0" w:line="240" w:lineRule="auto"/>
    </w:pPr>
  </w:style>
  <w:style w:type="character" w:customStyle="1" w:styleId="ZpatChar">
    <w:name w:val="Zápatí Char"/>
    <w:basedOn w:val="Standardnpsmoodstavce"/>
    <w:link w:val="Zpat"/>
    <w:rsid w:val="00BF2205"/>
  </w:style>
  <w:style w:type="paragraph" w:styleId="Textbubliny">
    <w:name w:val="Balloon Text"/>
    <w:basedOn w:val="Normln"/>
    <w:link w:val="TextbublinyChar"/>
    <w:uiPriority w:val="99"/>
    <w:semiHidden/>
    <w:unhideWhenUsed/>
    <w:rsid w:val="006238D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238D6"/>
    <w:rPr>
      <w:rFonts w:ascii="Tahoma" w:hAnsi="Tahoma" w:cs="Tahoma"/>
      <w:sz w:val="16"/>
      <w:szCs w:val="16"/>
    </w:rPr>
  </w:style>
  <w:style w:type="character" w:styleId="Hypertextovodkaz">
    <w:name w:val="Hyperlink"/>
    <w:basedOn w:val="Standardnpsmoodstavce"/>
    <w:uiPriority w:val="99"/>
    <w:unhideWhenUsed/>
    <w:rsid w:val="00872308"/>
    <w:rPr>
      <w:color w:val="0000FF" w:themeColor="hyperlink"/>
      <w:u w:val="single"/>
    </w:rPr>
  </w:style>
  <w:style w:type="character" w:styleId="Odkaznakoment">
    <w:name w:val="annotation reference"/>
    <w:basedOn w:val="Standardnpsmoodstavce"/>
    <w:uiPriority w:val="99"/>
    <w:semiHidden/>
    <w:unhideWhenUsed/>
    <w:rsid w:val="004D6BA6"/>
    <w:rPr>
      <w:sz w:val="16"/>
      <w:szCs w:val="16"/>
    </w:rPr>
  </w:style>
  <w:style w:type="paragraph" w:styleId="Textkomente">
    <w:name w:val="annotation text"/>
    <w:basedOn w:val="Normln"/>
    <w:link w:val="TextkomenteChar"/>
    <w:uiPriority w:val="99"/>
    <w:semiHidden/>
    <w:unhideWhenUsed/>
    <w:rsid w:val="004D6BA6"/>
    <w:pPr>
      <w:spacing w:line="240" w:lineRule="auto"/>
    </w:pPr>
    <w:rPr>
      <w:sz w:val="20"/>
      <w:szCs w:val="20"/>
    </w:rPr>
  </w:style>
  <w:style w:type="character" w:customStyle="1" w:styleId="TextkomenteChar">
    <w:name w:val="Text komentáře Char"/>
    <w:basedOn w:val="Standardnpsmoodstavce"/>
    <w:link w:val="Textkomente"/>
    <w:uiPriority w:val="99"/>
    <w:semiHidden/>
    <w:rsid w:val="004D6BA6"/>
    <w:rPr>
      <w:sz w:val="20"/>
      <w:szCs w:val="20"/>
    </w:rPr>
  </w:style>
  <w:style w:type="paragraph" w:styleId="Pedmtkomente">
    <w:name w:val="annotation subject"/>
    <w:basedOn w:val="Textkomente"/>
    <w:next w:val="Textkomente"/>
    <w:link w:val="PedmtkomenteChar"/>
    <w:uiPriority w:val="99"/>
    <w:semiHidden/>
    <w:unhideWhenUsed/>
    <w:rsid w:val="004D6BA6"/>
    <w:rPr>
      <w:b/>
      <w:bCs/>
    </w:rPr>
  </w:style>
  <w:style w:type="character" w:customStyle="1" w:styleId="PedmtkomenteChar">
    <w:name w:val="Předmět komentáře Char"/>
    <w:basedOn w:val="TextkomenteChar"/>
    <w:link w:val="Pedmtkomente"/>
    <w:uiPriority w:val="99"/>
    <w:semiHidden/>
    <w:rsid w:val="004D6BA6"/>
    <w:rPr>
      <w:b/>
      <w:bCs/>
      <w:sz w:val="20"/>
      <w:szCs w:val="20"/>
    </w:rPr>
  </w:style>
  <w:style w:type="paragraph" w:styleId="Textpoznpodarou">
    <w:name w:val="footnote text"/>
    <w:basedOn w:val="Normln"/>
    <w:link w:val="TextpoznpodarouChar"/>
    <w:semiHidden/>
    <w:unhideWhenUsed/>
    <w:rsid w:val="00180E49"/>
    <w:pPr>
      <w:spacing w:after="0" w:line="240" w:lineRule="auto"/>
    </w:pPr>
    <w:rPr>
      <w:sz w:val="20"/>
      <w:szCs w:val="20"/>
    </w:rPr>
  </w:style>
  <w:style w:type="character" w:customStyle="1" w:styleId="TextpoznpodarouChar">
    <w:name w:val="Text pozn. pod čarou Char"/>
    <w:basedOn w:val="Standardnpsmoodstavce"/>
    <w:link w:val="Textpoznpodarou"/>
    <w:semiHidden/>
    <w:rsid w:val="00180E49"/>
    <w:rPr>
      <w:sz w:val="20"/>
      <w:szCs w:val="20"/>
    </w:rPr>
  </w:style>
  <w:style w:type="character" w:styleId="Znakapoznpodarou">
    <w:name w:val="footnote reference"/>
    <w:basedOn w:val="Standardnpsmoodstavce"/>
    <w:semiHidden/>
    <w:unhideWhenUsed/>
    <w:rsid w:val="00180E49"/>
    <w:rPr>
      <w:vertAlign w:val="superscript"/>
    </w:rPr>
  </w:style>
  <w:style w:type="character" w:customStyle="1" w:styleId="ParagrafChar">
    <w:name w:val="Paragraf Char"/>
    <w:link w:val="Paragraf"/>
    <w:locked/>
    <w:rsid w:val="008C1E67"/>
    <w:rPr>
      <w:sz w:val="24"/>
    </w:rPr>
  </w:style>
  <w:style w:type="paragraph" w:customStyle="1" w:styleId="Textodstavce">
    <w:name w:val="Text odstavce"/>
    <w:basedOn w:val="Normln"/>
    <w:link w:val="TextodstavceChar"/>
    <w:rsid w:val="008C1E67"/>
    <w:p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Paragraf">
    <w:name w:val="Paragraf"/>
    <w:basedOn w:val="Normln"/>
    <w:next w:val="Textodstavce"/>
    <w:link w:val="ParagrafChar"/>
    <w:rsid w:val="008C1E67"/>
    <w:pPr>
      <w:keepNext/>
      <w:keepLines/>
      <w:spacing w:before="240" w:after="0" w:line="240" w:lineRule="auto"/>
      <w:jc w:val="center"/>
      <w:outlineLvl w:val="5"/>
    </w:pPr>
    <w:rPr>
      <w:sz w:val="24"/>
    </w:rPr>
  </w:style>
  <w:style w:type="character" w:customStyle="1" w:styleId="TextpsmeneChar">
    <w:name w:val="Text písmene Char"/>
    <w:link w:val="Textpsmene"/>
    <w:locked/>
    <w:rsid w:val="008C1E67"/>
    <w:rPr>
      <w:sz w:val="24"/>
    </w:rPr>
  </w:style>
  <w:style w:type="paragraph" w:customStyle="1" w:styleId="Textpsmene">
    <w:name w:val="Text písmene"/>
    <w:basedOn w:val="Normln"/>
    <w:link w:val="TextpsmeneChar"/>
    <w:rsid w:val="008C1E67"/>
    <w:pPr>
      <w:spacing w:after="0" w:line="240" w:lineRule="auto"/>
      <w:jc w:val="both"/>
      <w:outlineLvl w:val="7"/>
    </w:pPr>
    <w:rPr>
      <w:sz w:val="24"/>
    </w:rPr>
  </w:style>
  <w:style w:type="character" w:customStyle="1" w:styleId="TextodstavceChar">
    <w:name w:val="Text odstavce Char"/>
    <w:link w:val="Textodstavce"/>
    <w:locked/>
    <w:rsid w:val="008C1E67"/>
    <w:rPr>
      <w:rFonts w:ascii="Times New Roman" w:eastAsia="Times New Roman" w:hAnsi="Times New Roman" w:cs="Times New Roman"/>
      <w:sz w:val="24"/>
      <w:szCs w:val="20"/>
    </w:rPr>
  </w:style>
  <w:style w:type="character" w:customStyle="1" w:styleId="NadpisparagrafuChar2">
    <w:name w:val="Nadpis paragrafu Char2"/>
    <w:link w:val="Nadpisparagrafu"/>
    <w:locked/>
    <w:rsid w:val="008C1E67"/>
    <w:rPr>
      <w:b/>
      <w:sz w:val="24"/>
    </w:rPr>
  </w:style>
  <w:style w:type="paragraph" w:customStyle="1" w:styleId="Nadpisparagrafu">
    <w:name w:val="Nadpis paragrafu"/>
    <w:basedOn w:val="Paragraf"/>
    <w:next w:val="Textodstavce"/>
    <w:link w:val="NadpisparagrafuChar2"/>
    <w:rsid w:val="008C1E67"/>
    <w:rPr>
      <w:b/>
    </w:rPr>
  </w:style>
  <w:style w:type="paragraph" w:customStyle="1" w:styleId="Default">
    <w:name w:val="Default"/>
    <w:rsid w:val="006B256B"/>
    <w:pPr>
      <w:autoSpaceDE w:val="0"/>
      <w:autoSpaceDN w:val="0"/>
      <w:adjustRightInd w:val="0"/>
      <w:spacing w:after="0" w:line="240" w:lineRule="auto"/>
    </w:pPr>
    <w:rPr>
      <w:rFonts w:ascii="Alegreya Sans" w:eastAsiaTheme="minorHAnsi" w:hAnsi="Alegreya Sans" w:cs="Alegreya Sans"/>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98234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plyn@cgoa.cz" TargetMode="External"/><Relationship Id="rId1" Type="http://schemas.openxmlformats.org/officeDocument/2006/relationships/hyperlink" Target="mailto:cpsvaz@cgoa.cz"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AFC22-8606-49D7-AAF9-7C097DE22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1151</Words>
  <Characters>6795</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Redakce ČPS</dc:creator>
  <cp:lastModifiedBy>TP</cp:lastModifiedBy>
  <cp:revision>5</cp:revision>
  <dcterms:created xsi:type="dcterms:W3CDTF">2019-08-30T10:51:00Z</dcterms:created>
  <dcterms:modified xsi:type="dcterms:W3CDTF">2019-11-14T15:29:00Z</dcterms:modified>
</cp:coreProperties>
</file>