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A" w:rsidRDefault="002F1F2C" w:rsidP="002F1F2C">
      <w:pPr>
        <w:pStyle w:val="Nadpis1"/>
        <w:jc w:val="center"/>
        <w:rPr>
          <w:rStyle w:val="Siln"/>
        </w:rPr>
      </w:pPr>
      <w:r w:rsidRPr="002F1F2C">
        <w:rPr>
          <w:rStyle w:val="Siln"/>
          <w:b w:val="0"/>
          <w:bCs/>
        </w:rPr>
        <w:t>Trans-</w:t>
      </w:r>
      <w:proofErr w:type="spellStart"/>
      <w:r w:rsidRPr="002F1F2C">
        <w:rPr>
          <w:rStyle w:val="Siln"/>
          <w:b w:val="0"/>
          <w:bCs/>
        </w:rPr>
        <w:t>European</w:t>
      </w:r>
      <w:proofErr w:type="spellEnd"/>
      <w:r w:rsidRPr="002F1F2C">
        <w:rPr>
          <w:rStyle w:val="Siln"/>
          <w:b w:val="0"/>
          <w:bCs/>
        </w:rPr>
        <w:t xml:space="preserve"> </w:t>
      </w:r>
      <w:proofErr w:type="spellStart"/>
      <w:r w:rsidRPr="002F1F2C">
        <w:rPr>
          <w:rStyle w:val="Siln"/>
          <w:b w:val="0"/>
          <w:bCs/>
        </w:rPr>
        <w:t>energy</w:t>
      </w:r>
      <w:proofErr w:type="spellEnd"/>
      <w:r w:rsidRPr="002F1F2C">
        <w:rPr>
          <w:rStyle w:val="Siln"/>
          <w:b w:val="0"/>
          <w:bCs/>
        </w:rPr>
        <w:t xml:space="preserve"> </w:t>
      </w:r>
      <w:proofErr w:type="spellStart"/>
      <w:r w:rsidRPr="002F1F2C">
        <w:rPr>
          <w:rStyle w:val="Siln"/>
          <w:b w:val="0"/>
          <w:bCs/>
        </w:rPr>
        <w:t>infrastructure</w:t>
      </w:r>
      <w:proofErr w:type="spellEnd"/>
      <w:r w:rsidRPr="002F1F2C">
        <w:rPr>
          <w:rStyle w:val="Siln"/>
          <w:b w:val="0"/>
          <w:bCs/>
        </w:rPr>
        <w:t xml:space="preserve"> – </w:t>
      </w:r>
      <w:proofErr w:type="spellStart"/>
      <w:r w:rsidRPr="002F1F2C">
        <w:rPr>
          <w:rStyle w:val="Siln"/>
          <w:b w:val="0"/>
          <w:bCs/>
        </w:rPr>
        <w:t>evaluation</w:t>
      </w:r>
      <w:proofErr w:type="spellEnd"/>
      <w:r w:rsidRPr="002F1F2C">
        <w:rPr>
          <w:rStyle w:val="Siln"/>
          <w:b w:val="0"/>
          <w:bCs/>
        </w:rPr>
        <w:t xml:space="preserve"> </w:t>
      </w:r>
      <w:proofErr w:type="spellStart"/>
      <w:r w:rsidRPr="002F1F2C">
        <w:rPr>
          <w:rStyle w:val="Siln"/>
          <w:b w:val="0"/>
          <w:bCs/>
        </w:rPr>
        <w:t>of</w:t>
      </w:r>
      <w:proofErr w:type="spellEnd"/>
      <w:r w:rsidRPr="002F1F2C">
        <w:rPr>
          <w:rStyle w:val="Siln"/>
          <w:b w:val="0"/>
          <w:bCs/>
        </w:rPr>
        <w:t xml:space="preserve"> EU </w:t>
      </w:r>
      <w:proofErr w:type="spellStart"/>
      <w:r w:rsidRPr="002F1F2C">
        <w:rPr>
          <w:rStyle w:val="Siln"/>
          <w:b w:val="0"/>
          <w:bCs/>
        </w:rPr>
        <w:t>strategy</w:t>
      </w:r>
      <w:proofErr w:type="spellEnd"/>
    </w:p>
    <w:p w:rsidR="00FA39FA" w:rsidRDefault="002F1F2C" w:rsidP="002F1F2C">
      <w:pPr>
        <w:pStyle w:val="Nzev"/>
        <w:jc w:val="center"/>
        <w:rPr>
          <w:rStyle w:val="Siln"/>
        </w:rPr>
      </w:pPr>
      <w:proofErr w:type="spellStart"/>
      <w:r>
        <w:rPr>
          <w:rStyle w:val="Siln"/>
        </w:rPr>
        <w:t>Position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of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the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Czech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Gas</w:t>
      </w:r>
      <w:proofErr w:type="spellEnd"/>
      <w:r>
        <w:rPr>
          <w:rStyle w:val="Siln"/>
        </w:rPr>
        <w:t xml:space="preserve"> </w:t>
      </w:r>
      <w:proofErr w:type="spellStart"/>
      <w:r>
        <w:rPr>
          <w:rStyle w:val="Siln"/>
        </w:rPr>
        <w:t>Association</w:t>
      </w:r>
      <w:proofErr w:type="spellEnd"/>
    </w:p>
    <w:p w:rsidR="00FA39FA" w:rsidRDefault="00FA39FA" w:rsidP="00FA39FA">
      <w:pPr>
        <w:pStyle w:val="Podtitul"/>
        <w:rPr>
          <w:rStyle w:val="Siln"/>
        </w:rPr>
      </w:pPr>
    </w:p>
    <w:p w:rsidR="00FA39FA" w:rsidRPr="00FA39FA" w:rsidRDefault="00FA39FA" w:rsidP="00FA39FA">
      <w:pPr>
        <w:rPr>
          <w:rStyle w:val="Siln"/>
          <w:b w:val="0"/>
          <w:bCs/>
        </w:rPr>
      </w:pPr>
    </w:p>
    <w:p w:rsidR="002F1F2C" w:rsidRDefault="002F1F2C" w:rsidP="002F1F2C">
      <w:pPr>
        <w:rPr>
          <w:lang w:val="en-GB"/>
        </w:rPr>
      </w:pPr>
      <w:r>
        <w:rPr>
          <w:lang w:val="en-GB"/>
        </w:rPr>
        <w:t xml:space="preserve">We believe that </w:t>
      </w:r>
      <w:r w:rsidRPr="00CA776F">
        <w:rPr>
          <w:lang w:val="en-GB"/>
        </w:rPr>
        <w:t>EU level is more appropriate than MS level</w:t>
      </w:r>
      <w:r>
        <w:rPr>
          <w:lang w:val="en-GB"/>
        </w:rPr>
        <w:t xml:space="preserve"> to</w:t>
      </w:r>
      <w:r w:rsidRPr="00CA776F">
        <w:rPr>
          <w:lang w:val="en-GB"/>
        </w:rPr>
        <w:t xml:space="preserve"> target broader</w:t>
      </w:r>
      <w:r>
        <w:rPr>
          <w:lang w:val="en-GB"/>
        </w:rPr>
        <w:t xml:space="preserve"> energy needs thanks to synergies the wider approach allows. The needs with cross-border impact that can be addressed by building new energy infrastructure are driven by the</w:t>
      </w:r>
      <w:r w:rsidRPr="001A20D0">
        <w:rPr>
          <w:lang w:val="en-GB"/>
        </w:rPr>
        <w:t xml:space="preserve"> </w:t>
      </w:r>
      <w:r>
        <w:rPr>
          <w:lang w:val="en-GB"/>
        </w:rPr>
        <w:t xml:space="preserve">TEN-E Regulation which has been </w:t>
      </w:r>
      <w:r w:rsidRPr="0001608B">
        <w:rPr>
          <w:lang w:val="en-GB"/>
        </w:rPr>
        <w:t>beneficial based on several elements.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>
        <w:rPr>
          <w:lang w:val="en-GB"/>
        </w:rPr>
        <w:t>Shippers in gas industry lately</w:t>
      </w:r>
      <w:r w:rsidRPr="00250A1F">
        <w:rPr>
          <w:lang w:val="en-GB"/>
        </w:rPr>
        <w:t xml:space="preserve"> prefer short-term bookings which cannot cover a long-term infrastructure investment</w:t>
      </w:r>
      <w:r>
        <w:rPr>
          <w:lang w:val="en-GB"/>
        </w:rPr>
        <w:t xml:space="preserve"> helping reaching EU targets. This leads to a</w:t>
      </w:r>
      <w:r w:rsidRPr="00250A1F">
        <w:rPr>
          <w:lang w:val="en-GB"/>
        </w:rPr>
        <w:t xml:space="preserve"> significant commercial risk which is associated with the level and continuity of shippers’ capacity bookings at the planned interconnection point </w:t>
      </w:r>
      <w:r>
        <w:rPr>
          <w:lang w:val="en-GB"/>
        </w:rPr>
        <w:t>through</w:t>
      </w:r>
      <w:r w:rsidRPr="00250A1F">
        <w:rPr>
          <w:lang w:val="en-GB"/>
        </w:rPr>
        <w:t xml:space="preserve"> considered period of time which determine the project’s revenues and so the reimbursement of the investments. </w:t>
      </w:r>
      <w:r>
        <w:rPr>
          <w:lang w:val="en-GB"/>
        </w:rPr>
        <w:t>Nevertheless, there are projects which bring benefits related to security of supply, market integration and sustainability and gaining PCI status substitutes the investment guarantees from market.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>
        <w:rPr>
          <w:lang w:val="en-GB"/>
        </w:rPr>
        <w:t>It is important to emphasize, however, that in the case of the Czech Republic and in some areas the implementation of the TEN-E Regulation did not bring the expected results.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>
        <w:rPr>
          <w:lang w:val="en-GB"/>
        </w:rPr>
        <w:t xml:space="preserve">First, there are problems with permitting which is supposed to be simpler and faster for projects of common interest based on the TEN-E Regulation although the regulation is valid since 2013. </w:t>
      </w:r>
      <w:r w:rsidRPr="00AE7C07">
        <w:rPr>
          <w:lang w:val="en-GB"/>
        </w:rPr>
        <w:t>Some steps in permitting procedure were not fully implemented into the national legislation and therefore the whole process is not functioning in effective way so far.</w:t>
      </w:r>
      <w:r>
        <w:rPr>
          <w:lang w:val="en-GB"/>
        </w:rPr>
        <w:t xml:space="preserve"> </w:t>
      </w:r>
      <w:r w:rsidRPr="00E33769">
        <w:rPr>
          <w:lang w:val="en-GB"/>
        </w:rPr>
        <w:t xml:space="preserve">After gaining the PCI status </w:t>
      </w:r>
      <w:proofErr w:type="spellStart"/>
      <w:r>
        <w:rPr>
          <w:lang w:val="en-GB"/>
        </w:rPr>
        <w:t>NET4GAS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s.r.o</w:t>
      </w:r>
      <w:proofErr w:type="spellEnd"/>
      <w:r>
        <w:rPr>
          <w:lang w:val="en-GB"/>
        </w:rPr>
        <w:t>.</w:t>
      </w:r>
      <w:r w:rsidRPr="00E33769">
        <w:rPr>
          <w:lang w:val="en-GB"/>
        </w:rPr>
        <w:t xml:space="preserve"> needed to start again the permit granting procedure although the application for approval was already submitted to the competent authority. Due to re-starting the permitting process, the project promoter lost a lot of time. </w:t>
      </w:r>
      <w:proofErr w:type="gramStart"/>
      <w:r w:rsidRPr="00E33769">
        <w:rPr>
          <w:lang w:val="en-GB"/>
        </w:rPr>
        <w:t>A</w:t>
      </w:r>
      <w:r>
        <w:rPr>
          <w:lang w:val="en-GB"/>
        </w:rPr>
        <w:t> </w:t>
      </w:r>
      <w:r w:rsidRPr="00E33769">
        <w:rPr>
          <w:lang w:val="en-GB"/>
        </w:rPr>
        <w:t>certain</w:t>
      </w:r>
      <w:proofErr w:type="gramEnd"/>
      <w:r w:rsidRPr="00E33769">
        <w:rPr>
          <w:lang w:val="en-GB"/>
        </w:rPr>
        <w:t xml:space="preserve"> continuity in permit granting procedure should be guaranteed to the project disregarding the PCI status. The same would apply if PCI status is not gained anymore. </w:t>
      </w:r>
      <w:r>
        <w:rPr>
          <w:lang w:val="en-GB"/>
        </w:rPr>
        <w:t>In addition, t</w:t>
      </w:r>
      <w:r w:rsidRPr="00484DBF">
        <w:rPr>
          <w:lang w:val="en-GB"/>
        </w:rPr>
        <w:t>he</w:t>
      </w:r>
      <w:r>
        <w:rPr>
          <w:lang w:val="en-GB"/>
        </w:rPr>
        <w:t xml:space="preserve"> permitting</w:t>
      </w:r>
      <w:r w:rsidRPr="00484DBF">
        <w:rPr>
          <w:lang w:val="en-GB"/>
        </w:rPr>
        <w:t xml:space="preserve"> process</w:t>
      </w:r>
      <w:r>
        <w:rPr>
          <w:lang w:val="en-GB"/>
        </w:rPr>
        <w:t xml:space="preserve"> itself</w:t>
      </w:r>
      <w:r w:rsidRPr="00484DBF">
        <w:rPr>
          <w:lang w:val="en-GB"/>
        </w:rPr>
        <w:t xml:space="preserve"> is not functioning well</w:t>
      </w:r>
      <w:r>
        <w:rPr>
          <w:lang w:val="en-GB"/>
        </w:rPr>
        <w:t xml:space="preserve"> in the Czech Republic</w:t>
      </w:r>
      <w:r w:rsidRPr="00484DBF">
        <w:rPr>
          <w:lang w:val="en-GB"/>
        </w:rPr>
        <w:t xml:space="preserve"> because of time-consuming administrative procedure from the side of state administration not respecting “one-stop shop” procedures.</w:t>
      </w:r>
      <w:r>
        <w:rPr>
          <w:lang w:val="en-GB"/>
        </w:rPr>
        <w:t xml:space="preserve"> In the meantime, the legislation was twice changed, and each time different level of design and engineering was requested which forced </w:t>
      </w:r>
      <w:proofErr w:type="spellStart"/>
      <w:r>
        <w:rPr>
          <w:lang w:val="en-GB"/>
        </w:rPr>
        <w:t>TSO</w:t>
      </w:r>
      <w:proofErr w:type="spellEnd"/>
      <w:r>
        <w:rPr>
          <w:lang w:val="en-GB"/>
        </w:rPr>
        <w:t xml:space="preserve"> to redo already finalized documents. First application for permit was filled already in April 2014 however until now no permit for the Czech gas PCI projects was granted.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>
        <w:rPr>
          <w:lang w:val="en-GB"/>
        </w:rPr>
        <w:t>Second, t</w:t>
      </w:r>
      <w:r w:rsidRPr="00055FD4">
        <w:rPr>
          <w:lang w:val="en-GB"/>
        </w:rPr>
        <w:t>he project promoter submitted the application for CBCA decision</w:t>
      </w:r>
      <w:r>
        <w:rPr>
          <w:lang w:val="en-GB"/>
        </w:rPr>
        <w:t xml:space="preserve"> for the Czech-Polish Interconnector</w:t>
      </w:r>
      <w:r w:rsidRPr="00055FD4">
        <w:rPr>
          <w:lang w:val="en-GB"/>
        </w:rPr>
        <w:t xml:space="preserve"> in compliance with Article 12 of the Regulation</w:t>
      </w:r>
      <w:r>
        <w:rPr>
          <w:lang w:val="en-GB"/>
        </w:rPr>
        <w:t xml:space="preserve"> (EU) 347/2013</w:t>
      </w:r>
      <w:r w:rsidRPr="00055FD4">
        <w:rPr>
          <w:lang w:val="en-GB"/>
        </w:rPr>
        <w:t xml:space="preserve">, but </w:t>
      </w:r>
      <w:r>
        <w:rPr>
          <w:lang w:val="en-GB"/>
        </w:rPr>
        <w:t>t</w:t>
      </w:r>
      <w:r w:rsidRPr="00AE7C07">
        <w:rPr>
          <w:lang w:val="en-GB"/>
        </w:rPr>
        <w:t xml:space="preserve">here were two different approaches of </w:t>
      </w:r>
      <w:proofErr w:type="spellStart"/>
      <w:r w:rsidRPr="00AE7C07">
        <w:rPr>
          <w:lang w:val="en-GB"/>
        </w:rPr>
        <w:t>NRAs</w:t>
      </w:r>
      <w:proofErr w:type="spellEnd"/>
      <w:r w:rsidRPr="00AE7C07">
        <w:rPr>
          <w:lang w:val="en-GB"/>
        </w:rPr>
        <w:t xml:space="preserve"> towards the CBCA procedure and </w:t>
      </w:r>
      <w:r w:rsidRPr="00055FD4">
        <w:rPr>
          <w:lang w:val="en-GB"/>
        </w:rPr>
        <w:t>the</w:t>
      </w:r>
      <w:r>
        <w:rPr>
          <w:lang w:val="en-GB"/>
        </w:rPr>
        <w:t xml:space="preserve"> Czech</w:t>
      </w:r>
      <w:r w:rsidRPr="00055FD4">
        <w:rPr>
          <w:lang w:val="en-GB"/>
        </w:rPr>
        <w:t xml:space="preserve"> NRA did not decide about the whole investment</w:t>
      </w:r>
      <w:r w:rsidRPr="00AE7C07">
        <w:rPr>
          <w:lang w:val="en-GB"/>
        </w:rPr>
        <w:t>.</w:t>
      </w:r>
      <w:r>
        <w:rPr>
          <w:lang w:val="en-GB"/>
        </w:rPr>
        <w:t xml:space="preserve"> Consequently</w:t>
      </w:r>
      <w:r w:rsidRPr="00AE7C07">
        <w:rPr>
          <w:lang w:val="en-GB"/>
        </w:rPr>
        <w:t xml:space="preserve">, two different CBCA </w:t>
      </w:r>
      <w:r w:rsidRPr="00AE7C07">
        <w:rPr>
          <w:lang w:val="en-GB"/>
        </w:rPr>
        <w:lastRenderedPageBreak/>
        <w:t>decision</w:t>
      </w:r>
      <w:r>
        <w:rPr>
          <w:lang w:val="en-GB"/>
        </w:rPr>
        <w:t>s</w:t>
      </w:r>
      <w:r w:rsidRPr="00AE7C07">
        <w:rPr>
          <w:lang w:val="en-GB"/>
        </w:rPr>
        <w:t xml:space="preserve"> were issued – one regulatory authority decided about the whole investment based on </w:t>
      </w:r>
      <w:proofErr w:type="spellStart"/>
      <w:r w:rsidRPr="00AE7C07">
        <w:rPr>
          <w:lang w:val="en-GB"/>
        </w:rPr>
        <w:t>CBA</w:t>
      </w:r>
      <w:proofErr w:type="spellEnd"/>
      <w:r w:rsidRPr="00AE7C07">
        <w:rPr>
          <w:lang w:val="en-GB"/>
        </w:rPr>
        <w:t xml:space="preserve"> results while the other regulatory authority decided about just approx. 2/3 of the investment.</w:t>
      </w:r>
      <w:r>
        <w:rPr>
          <w:lang w:val="en-GB"/>
        </w:rPr>
        <w:t xml:space="preserve"> Thus,</w:t>
      </w:r>
      <w:r w:rsidRPr="00055FD4">
        <w:rPr>
          <w:lang w:val="en-GB"/>
        </w:rPr>
        <w:t xml:space="preserve"> it was not possible to take the final investment decision.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>
        <w:rPr>
          <w:lang w:val="en-GB"/>
        </w:rPr>
        <w:t xml:space="preserve">Regarding the gaining of the PCI status itself, we believe that the selection of projects of common interest should be based solely on a transparent and bullet-proof </w:t>
      </w:r>
      <w:proofErr w:type="spellStart"/>
      <w:r>
        <w:rPr>
          <w:lang w:val="en-GB"/>
        </w:rPr>
        <w:t>ENTSOG</w:t>
      </w:r>
      <w:proofErr w:type="spellEnd"/>
      <w:r>
        <w:rPr>
          <w:lang w:val="en-GB"/>
        </w:rPr>
        <w:t xml:space="preserve"> methodology as described in the Regulation. This means not applying any additional non-transparent methodology and not using some indicators based on their results, i.e. no criteria (market integration, competition, security of supply and sustainability) should be omitted.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 w:rsidRPr="00AE7C07">
        <w:rPr>
          <w:lang w:val="en-GB"/>
        </w:rPr>
        <w:t xml:space="preserve">There should be strong cooperation between the regional groups and </w:t>
      </w:r>
      <w:proofErr w:type="spellStart"/>
      <w:r w:rsidRPr="00AE7C07">
        <w:rPr>
          <w:lang w:val="en-GB"/>
        </w:rPr>
        <w:t>MS</w:t>
      </w:r>
      <w:r>
        <w:rPr>
          <w:lang w:val="en-GB"/>
        </w:rPr>
        <w:t>s</w:t>
      </w:r>
      <w:proofErr w:type="spellEnd"/>
      <w:r w:rsidRPr="00AE7C07">
        <w:rPr>
          <w:lang w:val="en-GB"/>
        </w:rPr>
        <w:t xml:space="preserve"> during the PCI selection process. ACER and </w:t>
      </w:r>
      <w:proofErr w:type="spellStart"/>
      <w:r w:rsidRPr="00AE7C07">
        <w:rPr>
          <w:lang w:val="en-GB"/>
        </w:rPr>
        <w:t>NRAs</w:t>
      </w:r>
      <w:proofErr w:type="spellEnd"/>
      <w:r w:rsidRPr="00AE7C07">
        <w:rPr>
          <w:lang w:val="en-GB"/>
        </w:rPr>
        <w:t xml:space="preserve"> should just have </w:t>
      </w:r>
      <w:r>
        <w:rPr>
          <w:lang w:val="en-GB"/>
        </w:rPr>
        <w:t xml:space="preserve">only </w:t>
      </w:r>
      <w:r w:rsidRPr="00AE7C07">
        <w:rPr>
          <w:lang w:val="en-GB"/>
        </w:rPr>
        <w:t>advisory not the decision-making function.</w:t>
      </w:r>
    </w:p>
    <w:p w:rsidR="002F1F2C" w:rsidRDefault="002F1F2C" w:rsidP="002F1F2C">
      <w:pPr>
        <w:rPr>
          <w:lang w:val="en-GB"/>
        </w:rPr>
      </w:pPr>
    </w:p>
    <w:p w:rsidR="002F1F2C" w:rsidRDefault="002F1F2C" w:rsidP="002F1F2C">
      <w:pPr>
        <w:rPr>
          <w:lang w:val="en-GB"/>
        </w:rPr>
      </w:pPr>
      <w:r w:rsidRPr="00AE7C07">
        <w:rPr>
          <w:lang w:val="en-GB"/>
        </w:rPr>
        <w:t xml:space="preserve">The PCI status shall be more stable and predictable in the long terms for project promoters. Re-evaluation of the PCI list every 2 years with a potential to lose the PCI status and all related benefits disturbing </w:t>
      </w:r>
      <w:proofErr w:type="gramStart"/>
      <w:r w:rsidRPr="00AE7C07">
        <w:rPr>
          <w:lang w:val="en-GB"/>
        </w:rPr>
        <w:t>a</w:t>
      </w:r>
      <w:r>
        <w:rPr>
          <w:lang w:val="en-GB"/>
        </w:rPr>
        <w:t> </w:t>
      </w:r>
      <w:r w:rsidRPr="00AE7C07">
        <w:rPr>
          <w:lang w:val="en-GB"/>
        </w:rPr>
        <w:t>stability</w:t>
      </w:r>
      <w:proofErr w:type="gramEnd"/>
      <w:r w:rsidRPr="00AE7C07">
        <w:rPr>
          <w:lang w:val="en-GB"/>
        </w:rPr>
        <w:t xml:space="preserve"> in the energy sector. Moreover, the 2-years renewal is not in compliance e.g. with permitting procedure in the Regulation which shall </w:t>
      </w:r>
      <w:r>
        <w:rPr>
          <w:lang w:val="en-GB"/>
        </w:rPr>
        <w:t xml:space="preserve">last </w:t>
      </w:r>
      <w:r w:rsidRPr="00AE7C07">
        <w:rPr>
          <w:lang w:val="en-GB"/>
        </w:rPr>
        <w:t>at maximum 3</w:t>
      </w:r>
      <w:proofErr w:type="gramStart"/>
      <w:r w:rsidRPr="00AE7C07">
        <w:rPr>
          <w:lang w:val="en-GB"/>
        </w:rPr>
        <w:t>,5</w:t>
      </w:r>
      <w:proofErr w:type="gramEnd"/>
      <w:r w:rsidRPr="00AE7C07">
        <w:rPr>
          <w:lang w:val="en-GB"/>
        </w:rPr>
        <w:t xml:space="preserve"> years</w:t>
      </w:r>
      <w:r>
        <w:rPr>
          <w:lang w:val="en-GB"/>
        </w:rPr>
        <w:t>. Moreover, there are missing precise information about consequences of a project losing PCI status for permitting and issued CBCA decision in the regulation</w:t>
      </w:r>
      <w:r w:rsidRPr="00AE7C07">
        <w:rPr>
          <w:lang w:val="en-GB"/>
        </w:rPr>
        <w:t>.</w:t>
      </w:r>
    </w:p>
    <w:p w:rsidR="002F1F2C" w:rsidRDefault="002F1F2C" w:rsidP="002F1F2C">
      <w:pPr>
        <w:rPr>
          <w:lang w:val="en-GB"/>
        </w:rPr>
      </w:pPr>
    </w:p>
    <w:p w:rsidR="002F1F2C" w:rsidRPr="00AE7C07" w:rsidRDefault="002F1F2C" w:rsidP="002F1F2C">
      <w:pPr>
        <w:rPr>
          <w:lang w:val="en-GB"/>
        </w:rPr>
      </w:pPr>
      <w:r>
        <w:rPr>
          <w:lang w:val="en-GB"/>
        </w:rPr>
        <w:t>To summarize, there are several issues in the Regulation (EU) 347/2013 that should be corrected by amending the legislation:</w:t>
      </w:r>
    </w:p>
    <w:p w:rsidR="002F1F2C" w:rsidRDefault="002F1F2C" w:rsidP="002F1F2C">
      <w:pPr>
        <w:pStyle w:val="Odstavecseseznamem"/>
        <w:numPr>
          <w:ilvl w:val="0"/>
          <w:numId w:val="4"/>
        </w:numPr>
        <w:spacing w:line="276" w:lineRule="auto"/>
        <w:rPr>
          <w:lang w:val="en-GB"/>
        </w:rPr>
      </w:pPr>
      <w:r w:rsidRPr="00F45774">
        <w:rPr>
          <w:lang w:val="en-GB"/>
        </w:rPr>
        <w:t xml:space="preserve">Concrete temporary provisions </w:t>
      </w:r>
      <w:r>
        <w:rPr>
          <w:lang w:val="en-GB"/>
        </w:rPr>
        <w:t>to be added</w:t>
      </w:r>
      <w:r w:rsidRPr="00F45774">
        <w:rPr>
          <w:lang w:val="en-GB"/>
        </w:rPr>
        <w:t xml:space="preserve"> in case the project is gaining</w:t>
      </w:r>
      <w:r>
        <w:rPr>
          <w:lang w:val="en-GB"/>
        </w:rPr>
        <w:t>/losing</w:t>
      </w:r>
      <w:r w:rsidRPr="00F45774">
        <w:rPr>
          <w:lang w:val="en-GB"/>
        </w:rPr>
        <w:t xml:space="preserve"> PCI status while permit granting procedure is running.</w:t>
      </w:r>
    </w:p>
    <w:p w:rsidR="002F1F2C" w:rsidRDefault="002F1F2C" w:rsidP="002F1F2C">
      <w:pPr>
        <w:pStyle w:val="Odstavecseseznamem"/>
        <w:numPr>
          <w:ilvl w:val="0"/>
          <w:numId w:val="4"/>
        </w:numPr>
        <w:spacing w:line="276" w:lineRule="auto"/>
        <w:rPr>
          <w:lang w:val="en-GB"/>
        </w:rPr>
      </w:pPr>
      <w:r w:rsidRPr="00F45774">
        <w:rPr>
          <w:lang w:val="en-GB"/>
        </w:rPr>
        <w:t xml:space="preserve">There should be described what exactly Regulator should do to issue an effective CBCA </w:t>
      </w:r>
      <w:r>
        <w:rPr>
          <w:lang w:val="en-GB"/>
        </w:rPr>
        <w:t>and Incentives d</w:t>
      </w:r>
      <w:r w:rsidRPr="00F45774">
        <w:rPr>
          <w:lang w:val="en-GB"/>
        </w:rPr>
        <w:t>ecision</w:t>
      </w:r>
      <w:r>
        <w:rPr>
          <w:lang w:val="en-GB"/>
        </w:rPr>
        <w:t xml:space="preserve"> and precisely defined inputs to be prepared by project promoters</w:t>
      </w:r>
      <w:r w:rsidRPr="00F45774">
        <w:rPr>
          <w:lang w:val="en-GB"/>
        </w:rPr>
        <w:t>.</w:t>
      </w:r>
    </w:p>
    <w:p w:rsidR="002F1F2C" w:rsidRDefault="002F1F2C" w:rsidP="002F1F2C">
      <w:pPr>
        <w:pStyle w:val="Odstavecseseznamem"/>
        <w:numPr>
          <w:ilvl w:val="0"/>
          <w:numId w:val="4"/>
        </w:numPr>
        <w:spacing w:line="276" w:lineRule="auto"/>
        <w:rPr>
          <w:lang w:val="en-GB"/>
        </w:rPr>
      </w:pPr>
      <w:r w:rsidRPr="00F45774">
        <w:rPr>
          <w:lang w:val="en-GB"/>
        </w:rPr>
        <w:t>It is not clear what will happen with issued CBCA Decision and approved incentives if the project loses PCI status.</w:t>
      </w:r>
    </w:p>
    <w:p w:rsidR="002F1F2C" w:rsidRPr="00387846" w:rsidRDefault="002F1F2C" w:rsidP="002F1F2C">
      <w:pPr>
        <w:pStyle w:val="Odstavecseseznamem"/>
        <w:numPr>
          <w:ilvl w:val="0"/>
          <w:numId w:val="4"/>
        </w:numPr>
        <w:spacing w:line="276" w:lineRule="auto"/>
        <w:rPr>
          <w:lang w:val="en-GB"/>
        </w:rPr>
      </w:pPr>
      <w:r w:rsidRPr="00387846">
        <w:rPr>
          <w:lang w:val="en-GB"/>
        </w:rPr>
        <w:t xml:space="preserve">There shall be added an obligation for all regional groups to use just </w:t>
      </w:r>
      <w:proofErr w:type="spellStart"/>
      <w:r w:rsidRPr="00387846">
        <w:rPr>
          <w:lang w:val="en-GB"/>
        </w:rPr>
        <w:t>ENTSOG</w:t>
      </w:r>
      <w:proofErr w:type="spellEnd"/>
      <w:r w:rsidRPr="00387846">
        <w:rPr>
          <w:lang w:val="en-GB"/>
        </w:rPr>
        <w:t xml:space="preserve"> (</w:t>
      </w:r>
      <w:proofErr w:type="spellStart"/>
      <w:r w:rsidRPr="00387846">
        <w:rPr>
          <w:lang w:val="en-GB"/>
        </w:rPr>
        <w:t>ENTSO</w:t>
      </w:r>
      <w:proofErr w:type="spellEnd"/>
      <w:r w:rsidRPr="00387846">
        <w:rPr>
          <w:lang w:val="en-GB"/>
        </w:rPr>
        <w:t xml:space="preserve">-E) </w:t>
      </w:r>
      <w:proofErr w:type="spellStart"/>
      <w:r w:rsidRPr="00387846">
        <w:rPr>
          <w:lang w:val="en-GB"/>
        </w:rPr>
        <w:t>CBA</w:t>
      </w:r>
      <w:proofErr w:type="spellEnd"/>
      <w:r w:rsidRPr="00387846">
        <w:rPr>
          <w:lang w:val="en-GB"/>
        </w:rPr>
        <w:t xml:space="preserve"> methodology to assess candidate PCI projects.</w:t>
      </w:r>
    </w:p>
    <w:p w:rsidR="00FA39FA" w:rsidRDefault="00FA39FA" w:rsidP="00FA39FA">
      <w:pPr>
        <w:rPr>
          <w:rStyle w:val="Siln"/>
          <w:b w:val="0"/>
          <w:bCs/>
        </w:rPr>
      </w:pPr>
    </w:p>
    <w:p w:rsidR="002F1F2C" w:rsidRDefault="002F1F2C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875B06" w:rsidRDefault="00875B06" w:rsidP="00FA39FA">
      <w:pPr>
        <w:rPr>
          <w:rStyle w:val="Siln"/>
          <w:b w:val="0"/>
          <w:bCs/>
        </w:rPr>
      </w:pPr>
    </w:p>
    <w:p w:rsidR="002F1F2C" w:rsidRDefault="002F1F2C" w:rsidP="00FA39FA">
      <w:pPr>
        <w:rPr>
          <w:rStyle w:val="Siln"/>
          <w:b w:val="0"/>
          <w:bCs/>
        </w:rPr>
      </w:pPr>
      <w:r>
        <w:rPr>
          <w:rStyle w:val="Siln"/>
          <w:b w:val="0"/>
          <w:bCs/>
        </w:rPr>
        <w:t>Prague</w:t>
      </w:r>
      <w:r w:rsidR="00875B06">
        <w:rPr>
          <w:rStyle w:val="Siln"/>
          <w:b w:val="0"/>
          <w:bCs/>
        </w:rPr>
        <w:t xml:space="preserve"> </w:t>
      </w:r>
      <w:proofErr w:type="spellStart"/>
      <w:r w:rsidR="00875B06">
        <w:rPr>
          <w:rStyle w:val="Siln"/>
          <w:b w:val="0"/>
          <w:bCs/>
        </w:rPr>
        <w:t>12</w:t>
      </w:r>
      <w:r w:rsidR="00875B06" w:rsidRPr="00875B06">
        <w:rPr>
          <w:rStyle w:val="Siln"/>
          <w:b w:val="0"/>
          <w:bCs/>
          <w:vertAlign w:val="superscript"/>
        </w:rPr>
        <w:t>th</w:t>
      </w:r>
      <w:proofErr w:type="spellEnd"/>
      <w:r w:rsidR="00875B06">
        <w:rPr>
          <w:rStyle w:val="Siln"/>
          <w:b w:val="0"/>
          <w:bCs/>
        </w:rPr>
        <w:t xml:space="preserve"> </w:t>
      </w:r>
      <w:proofErr w:type="spellStart"/>
      <w:r w:rsidR="00875B06">
        <w:rPr>
          <w:rStyle w:val="Siln"/>
          <w:b w:val="0"/>
          <w:bCs/>
        </w:rPr>
        <w:t>July</w:t>
      </w:r>
      <w:proofErr w:type="spellEnd"/>
      <w:r w:rsidR="00875B06">
        <w:rPr>
          <w:rStyle w:val="Siln"/>
          <w:b w:val="0"/>
          <w:bCs/>
        </w:rPr>
        <w:t xml:space="preserve"> 2019</w:t>
      </w:r>
    </w:p>
    <w:sectPr w:rsidR="002F1F2C" w:rsidSect="008804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0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2C" w:rsidRDefault="002F1F2C">
      <w:r>
        <w:separator/>
      </w:r>
    </w:p>
  </w:endnote>
  <w:endnote w:type="continuationSeparator" w:id="0">
    <w:p w:rsidR="002F1F2C" w:rsidRDefault="002F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2C" w:rsidRDefault="002F1F2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2C" w:rsidRPr="009C2AC1" w:rsidRDefault="002F1F2C" w:rsidP="00880474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2F1F2C" w:rsidRPr="009C2AC1" w:rsidRDefault="002F1F2C" w:rsidP="00880474">
    <w:pPr>
      <w:pStyle w:val="Zpat"/>
      <w:spacing w:line="276" w:lineRule="auto"/>
      <w:jc w:val="center"/>
      <w:rPr>
        <w:color w:val="808080"/>
        <w:sz w:val="18"/>
        <w:szCs w:val="18"/>
      </w:rPr>
    </w:pPr>
    <w:r>
      <w:rPr>
        <w:sz w:val="14"/>
        <w:szCs w:val="14"/>
      </w:rPr>
      <w:br/>
    </w: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bookmarkStart w:id="0" w:name="_GoBack"/>
    <w:bookmarkEnd w:id="0"/>
    <w:r w:rsidRPr="009C2AC1">
      <w:rPr>
        <w:color w:val="808080"/>
        <w:sz w:val="18"/>
        <w:szCs w:val="18"/>
      </w:rPr>
      <w:t>: 00409928, DIČ: CZ00409928</w:t>
    </w:r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r w:rsidRPr="009C2AC1">
        <w:rPr>
          <w:rStyle w:val="Hypertextovodkaz"/>
          <w:color w:val="808080"/>
          <w:sz w:val="18"/>
          <w:szCs w:val="18"/>
        </w:rPr>
        <w:t>cpsvaz@cgoa.cz</w:t>
      </w:r>
    </w:hyperlink>
    <w:r w:rsidRPr="009C2AC1">
      <w:rPr>
        <w:color w:val="808080"/>
        <w:sz w:val="18"/>
        <w:szCs w:val="18"/>
      </w:rPr>
      <w:t>, ekonom: +420 241 049 724</w:t>
    </w:r>
  </w:p>
  <w:p w:rsidR="002F1F2C" w:rsidRPr="009C2AC1" w:rsidRDefault="002F1F2C" w:rsidP="00880474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plyn@cgoa.cz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2C" w:rsidRDefault="002F1F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2C" w:rsidRDefault="002F1F2C">
      <w:r>
        <w:separator/>
      </w:r>
    </w:p>
  </w:footnote>
  <w:footnote w:type="continuationSeparator" w:id="0">
    <w:p w:rsidR="002F1F2C" w:rsidRDefault="002F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2C" w:rsidRDefault="002F1F2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2C" w:rsidRDefault="002F1F2C" w:rsidP="00F54639">
    <w:pPr>
      <w:pStyle w:val="Zhlav"/>
      <w:jc w:val="center"/>
    </w:pPr>
    <w:r>
      <w:rPr>
        <w:noProof/>
      </w:rPr>
      <w:drawing>
        <wp:inline distT="0" distB="0" distL="0" distR="0">
          <wp:extent cx="3088005" cy="802005"/>
          <wp:effectExtent l="0" t="0" r="0" b="0"/>
          <wp:docPr id="1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_logo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0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2C" w:rsidRDefault="002F1F2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E6845"/>
    <w:multiLevelType w:val="hybridMultilevel"/>
    <w:tmpl w:val="E3A24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61FD2"/>
    <w:multiLevelType w:val="hybridMultilevel"/>
    <w:tmpl w:val="C306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062A6"/>
    <w:multiLevelType w:val="hybridMultilevel"/>
    <w:tmpl w:val="7BFAC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37CDF"/>
    <w:multiLevelType w:val="hybridMultilevel"/>
    <w:tmpl w:val="A9E64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mailMerge>
    <w:mainDocumentType w:val="formLetters"/>
    <w:linkToQuery/>
    <w:dataType w:val="native"/>
    <w:query w:val="SELECT * FROM `List1$`"/>
    <w:activeRecord w:val="-1"/>
    <w:odso>
      <w:table w:val=""/>
      <w:colDelim w:val="9"/>
      <w:fHdr/>
    </w:odso>
  </w:mailMerge>
  <w:revisionView w:inkAnnotations="0"/>
  <w:defaultTabStop w:val="709"/>
  <w:hyphenationZone w:val="425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2F1F2C"/>
    <w:rsid w:val="000026A2"/>
    <w:rsid w:val="0002598F"/>
    <w:rsid w:val="00032CEA"/>
    <w:rsid w:val="00045E63"/>
    <w:rsid w:val="00062E0E"/>
    <w:rsid w:val="00067560"/>
    <w:rsid w:val="000A7766"/>
    <w:rsid w:val="000B5888"/>
    <w:rsid w:val="000B6FDA"/>
    <w:rsid w:val="000E624F"/>
    <w:rsid w:val="000F183D"/>
    <w:rsid w:val="00145899"/>
    <w:rsid w:val="00163EBA"/>
    <w:rsid w:val="001643D2"/>
    <w:rsid w:val="0016578B"/>
    <w:rsid w:val="00170D1F"/>
    <w:rsid w:val="0018768C"/>
    <w:rsid w:val="00191EFA"/>
    <w:rsid w:val="00192694"/>
    <w:rsid w:val="001A30B1"/>
    <w:rsid w:val="001A7EA6"/>
    <w:rsid w:val="001B6A43"/>
    <w:rsid w:val="001C7AA6"/>
    <w:rsid w:val="001D7C56"/>
    <w:rsid w:val="001E162D"/>
    <w:rsid w:val="001E4C91"/>
    <w:rsid w:val="00207772"/>
    <w:rsid w:val="002205D6"/>
    <w:rsid w:val="002334FE"/>
    <w:rsid w:val="00254F78"/>
    <w:rsid w:val="00294404"/>
    <w:rsid w:val="002B0C0A"/>
    <w:rsid w:val="002C2932"/>
    <w:rsid w:val="002C5125"/>
    <w:rsid w:val="002E0D97"/>
    <w:rsid w:val="002F1F2C"/>
    <w:rsid w:val="002F4953"/>
    <w:rsid w:val="003142AC"/>
    <w:rsid w:val="00337931"/>
    <w:rsid w:val="00346E48"/>
    <w:rsid w:val="00384800"/>
    <w:rsid w:val="00394F75"/>
    <w:rsid w:val="003B2CE5"/>
    <w:rsid w:val="003B4BF0"/>
    <w:rsid w:val="003D49B0"/>
    <w:rsid w:val="003F2F4D"/>
    <w:rsid w:val="0040675B"/>
    <w:rsid w:val="00406798"/>
    <w:rsid w:val="0041504C"/>
    <w:rsid w:val="00434738"/>
    <w:rsid w:val="004713D4"/>
    <w:rsid w:val="0047285B"/>
    <w:rsid w:val="004757AE"/>
    <w:rsid w:val="00487385"/>
    <w:rsid w:val="004B41B8"/>
    <w:rsid w:val="004C1434"/>
    <w:rsid w:val="004D38EC"/>
    <w:rsid w:val="004D4106"/>
    <w:rsid w:val="004E6CC0"/>
    <w:rsid w:val="004F4CC6"/>
    <w:rsid w:val="004F6F11"/>
    <w:rsid w:val="00500B88"/>
    <w:rsid w:val="0050420F"/>
    <w:rsid w:val="00506C04"/>
    <w:rsid w:val="0052179C"/>
    <w:rsid w:val="005241B1"/>
    <w:rsid w:val="00525631"/>
    <w:rsid w:val="0054472E"/>
    <w:rsid w:val="00550408"/>
    <w:rsid w:val="0056358A"/>
    <w:rsid w:val="00573F2F"/>
    <w:rsid w:val="005A73A7"/>
    <w:rsid w:val="005B041E"/>
    <w:rsid w:val="005C0F39"/>
    <w:rsid w:val="005C73A4"/>
    <w:rsid w:val="005D6761"/>
    <w:rsid w:val="00605F96"/>
    <w:rsid w:val="00636F3A"/>
    <w:rsid w:val="00643747"/>
    <w:rsid w:val="00644886"/>
    <w:rsid w:val="006469B1"/>
    <w:rsid w:val="00650963"/>
    <w:rsid w:val="00671CF1"/>
    <w:rsid w:val="0068314F"/>
    <w:rsid w:val="00693A0B"/>
    <w:rsid w:val="006A2378"/>
    <w:rsid w:val="006B77F4"/>
    <w:rsid w:val="006B7C36"/>
    <w:rsid w:val="006C3C54"/>
    <w:rsid w:val="006F3C2D"/>
    <w:rsid w:val="00710932"/>
    <w:rsid w:val="007464BF"/>
    <w:rsid w:val="007746B3"/>
    <w:rsid w:val="0077631B"/>
    <w:rsid w:val="00797890"/>
    <w:rsid w:val="007A76A7"/>
    <w:rsid w:val="007C112C"/>
    <w:rsid w:val="007C156E"/>
    <w:rsid w:val="007F608D"/>
    <w:rsid w:val="007F65D3"/>
    <w:rsid w:val="00830CCD"/>
    <w:rsid w:val="008573C7"/>
    <w:rsid w:val="00870CE7"/>
    <w:rsid w:val="00875B06"/>
    <w:rsid w:val="00880474"/>
    <w:rsid w:val="00885E3E"/>
    <w:rsid w:val="008B37E0"/>
    <w:rsid w:val="008C4D71"/>
    <w:rsid w:val="008D71AF"/>
    <w:rsid w:val="008E057E"/>
    <w:rsid w:val="008F36C0"/>
    <w:rsid w:val="008F7870"/>
    <w:rsid w:val="009034D5"/>
    <w:rsid w:val="00904D5A"/>
    <w:rsid w:val="00913D81"/>
    <w:rsid w:val="00917CAA"/>
    <w:rsid w:val="00923129"/>
    <w:rsid w:val="009317A3"/>
    <w:rsid w:val="009503BF"/>
    <w:rsid w:val="00954686"/>
    <w:rsid w:val="00955220"/>
    <w:rsid w:val="00983F3E"/>
    <w:rsid w:val="009937E1"/>
    <w:rsid w:val="009A3E67"/>
    <w:rsid w:val="009C2AC1"/>
    <w:rsid w:val="009C4A8F"/>
    <w:rsid w:val="009E4D6A"/>
    <w:rsid w:val="00A1541F"/>
    <w:rsid w:val="00A24019"/>
    <w:rsid w:val="00A335C4"/>
    <w:rsid w:val="00A456D8"/>
    <w:rsid w:val="00A5403C"/>
    <w:rsid w:val="00A54568"/>
    <w:rsid w:val="00A6700E"/>
    <w:rsid w:val="00A7683E"/>
    <w:rsid w:val="00A776FF"/>
    <w:rsid w:val="00AB2CD8"/>
    <w:rsid w:val="00AB3BD0"/>
    <w:rsid w:val="00AD20AE"/>
    <w:rsid w:val="00AD23CF"/>
    <w:rsid w:val="00AD6EB0"/>
    <w:rsid w:val="00AE5E10"/>
    <w:rsid w:val="00B11E95"/>
    <w:rsid w:val="00B22B1D"/>
    <w:rsid w:val="00B27BFA"/>
    <w:rsid w:val="00B358A3"/>
    <w:rsid w:val="00B678DB"/>
    <w:rsid w:val="00B67FE6"/>
    <w:rsid w:val="00B7500C"/>
    <w:rsid w:val="00B85BED"/>
    <w:rsid w:val="00B90B77"/>
    <w:rsid w:val="00BB7492"/>
    <w:rsid w:val="00BD4A3D"/>
    <w:rsid w:val="00BE35B5"/>
    <w:rsid w:val="00BE71DC"/>
    <w:rsid w:val="00BF7008"/>
    <w:rsid w:val="00C07D4F"/>
    <w:rsid w:val="00C34EA0"/>
    <w:rsid w:val="00C36B2B"/>
    <w:rsid w:val="00C81562"/>
    <w:rsid w:val="00C93E0D"/>
    <w:rsid w:val="00CA3167"/>
    <w:rsid w:val="00CB52E2"/>
    <w:rsid w:val="00CD5A9E"/>
    <w:rsid w:val="00CE3B1D"/>
    <w:rsid w:val="00CE68A2"/>
    <w:rsid w:val="00D14266"/>
    <w:rsid w:val="00D36055"/>
    <w:rsid w:val="00D47CBC"/>
    <w:rsid w:val="00D762FB"/>
    <w:rsid w:val="00D7696A"/>
    <w:rsid w:val="00D84E4B"/>
    <w:rsid w:val="00D85354"/>
    <w:rsid w:val="00DD1074"/>
    <w:rsid w:val="00DD1495"/>
    <w:rsid w:val="00DE6F2E"/>
    <w:rsid w:val="00E21784"/>
    <w:rsid w:val="00E2490F"/>
    <w:rsid w:val="00E3297C"/>
    <w:rsid w:val="00E43BD4"/>
    <w:rsid w:val="00E53875"/>
    <w:rsid w:val="00E644A3"/>
    <w:rsid w:val="00E65EB4"/>
    <w:rsid w:val="00E9209A"/>
    <w:rsid w:val="00EA0870"/>
    <w:rsid w:val="00EB11B1"/>
    <w:rsid w:val="00EC7C3D"/>
    <w:rsid w:val="00ED5DAC"/>
    <w:rsid w:val="00EF1211"/>
    <w:rsid w:val="00F07A8C"/>
    <w:rsid w:val="00F230FD"/>
    <w:rsid w:val="00F32CF1"/>
    <w:rsid w:val="00F451CC"/>
    <w:rsid w:val="00F50647"/>
    <w:rsid w:val="00F54639"/>
    <w:rsid w:val="00F677D6"/>
    <w:rsid w:val="00F707EF"/>
    <w:rsid w:val="00F820BF"/>
    <w:rsid w:val="00FA27D8"/>
    <w:rsid w:val="00FA39FA"/>
    <w:rsid w:val="00FB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1" w:locked="0" w:qFormat="1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FollowedHyperlink" w:locked="0"/>
    <w:lsdException w:name="Strong" w:locked="0" w:uiPriority="1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HTML Acronym" w:locked="0"/>
    <w:lsdException w:name="HTML Address" w:locked="0"/>
    <w:lsdException w:name="HTML Code" w:locked="0"/>
    <w:lsdException w:name="HTML Keyboard" w:locked="0"/>
    <w:lsdException w:name="HTML Typewriter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rsid w:val="00FA39FA"/>
    <w:pPr>
      <w:jc w:val="both"/>
    </w:pPr>
    <w:rPr>
      <w:rFonts w:ascii="Arial" w:hAnsi="Arial" w:cs="Arial"/>
      <w:bCs/>
      <w:color w:val="595959" w:themeColor="text1" w:themeTint="A6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5D6761"/>
    <w:pPr>
      <w:keepNext/>
      <w:spacing w:before="480" w:after="300"/>
      <w:jc w:val="left"/>
      <w:outlineLvl w:val="0"/>
    </w:pPr>
    <w:rPr>
      <w:rFonts w:cs="Times New Roman"/>
      <w:color w:val="1F497D"/>
      <w:kern w:val="32"/>
      <w:sz w:val="5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73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73A4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5C73A4"/>
    <w:rPr>
      <w:color w:val="0000FF"/>
      <w:u w:val="single"/>
    </w:rPr>
  </w:style>
  <w:style w:type="paragraph" w:styleId="Textbubliny">
    <w:name w:val="Balloon Text"/>
    <w:basedOn w:val="Normln"/>
    <w:semiHidden/>
    <w:rsid w:val="005C73A4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5D6761"/>
    <w:rPr>
      <w:rFonts w:ascii="Arial" w:hAnsi="Arial"/>
      <w:bCs/>
      <w:color w:val="1F497D"/>
      <w:kern w:val="32"/>
      <w:sz w:val="52"/>
      <w:szCs w:val="32"/>
    </w:rPr>
  </w:style>
  <w:style w:type="paragraph" w:styleId="Nzev">
    <w:name w:val="Title"/>
    <w:aliases w:val="Nadpis2"/>
    <w:basedOn w:val="Normln"/>
    <w:next w:val="Normln"/>
    <w:link w:val="NzevChar"/>
    <w:qFormat/>
    <w:rsid w:val="007F65D3"/>
    <w:pPr>
      <w:spacing w:before="360" w:after="180"/>
      <w:jc w:val="left"/>
      <w:outlineLvl w:val="0"/>
    </w:pPr>
    <w:rPr>
      <w:rFonts w:cs="Times New Roman"/>
      <w:color w:val="1F497D"/>
      <w:kern w:val="28"/>
      <w:sz w:val="32"/>
      <w:szCs w:val="32"/>
    </w:rPr>
  </w:style>
  <w:style w:type="character" w:customStyle="1" w:styleId="NzevChar">
    <w:name w:val="Název Char"/>
    <w:aliases w:val="Nadpis2 Char"/>
    <w:link w:val="Nzev"/>
    <w:rsid w:val="007F65D3"/>
    <w:rPr>
      <w:rFonts w:ascii="Arial" w:hAnsi="Arial"/>
      <w:bCs/>
      <w:color w:val="1F497D"/>
      <w:kern w:val="28"/>
      <w:sz w:val="32"/>
      <w:szCs w:val="32"/>
    </w:rPr>
  </w:style>
  <w:style w:type="paragraph" w:styleId="Podtitul">
    <w:name w:val="Subtitle"/>
    <w:aliases w:val="Nadpis3"/>
    <w:basedOn w:val="Normln"/>
    <w:next w:val="Normln"/>
    <w:link w:val="PodtitulChar"/>
    <w:qFormat/>
    <w:rsid w:val="00394F75"/>
    <w:pPr>
      <w:spacing w:after="60"/>
      <w:jc w:val="left"/>
      <w:outlineLvl w:val="1"/>
    </w:pPr>
    <w:rPr>
      <w:rFonts w:cs="Times New Roman"/>
      <w:b/>
      <w:color w:val="4F81BD" w:themeColor="accent1"/>
      <w:sz w:val="28"/>
      <w:szCs w:val="24"/>
    </w:rPr>
  </w:style>
  <w:style w:type="character" w:customStyle="1" w:styleId="PodtitulChar">
    <w:name w:val="Podtitul Char"/>
    <w:aliases w:val="Nadpis3 Char"/>
    <w:link w:val="Podtitul"/>
    <w:rsid w:val="00394F75"/>
    <w:rPr>
      <w:rFonts w:ascii="Arial" w:hAnsi="Arial"/>
      <w:b/>
      <w:bCs/>
      <w:color w:val="4F81BD" w:themeColor="accent1"/>
      <w:sz w:val="28"/>
      <w:szCs w:val="24"/>
    </w:rPr>
  </w:style>
  <w:style w:type="character" w:styleId="Siln">
    <w:name w:val="Strong"/>
    <w:uiPriority w:val="1"/>
    <w:qFormat/>
    <w:rsid w:val="001A30B1"/>
    <w:rPr>
      <w:rFonts w:ascii="Arial" w:hAnsi="Arial"/>
      <w:b/>
      <w:bCs/>
    </w:rPr>
  </w:style>
  <w:style w:type="character" w:styleId="Zvraznn">
    <w:name w:val="Emphasis"/>
    <w:aliases w:val="Zdroj"/>
    <w:qFormat/>
    <w:rsid w:val="00B22B1D"/>
    <w:rPr>
      <w:rFonts w:ascii="Arial" w:hAnsi="Arial"/>
      <w:i/>
      <w:iCs/>
      <w:color w:val="595959" w:themeColor="text1" w:themeTint="A6"/>
    </w:rPr>
  </w:style>
  <w:style w:type="paragraph" w:styleId="Citaceintenzivn">
    <w:name w:val="Intense Quote"/>
    <w:aliases w:val="Odkaz"/>
    <w:basedOn w:val="Normln"/>
    <w:next w:val="Normln"/>
    <w:link w:val="CitaceintenzivnChar"/>
    <w:autoRedefine/>
    <w:uiPriority w:val="1"/>
    <w:qFormat/>
    <w:rsid w:val="00C07D4F"/>
    <w:pPr>
      <w:pBdr>
        <w:bottom w:val="single" w:sz="4" w:space="4" w:color="4F81BD"/>
      </w:pBdr>
      <w:spacing w:before="200" w:after="280"/>
      <w:ind w:left="936" w:right="936"/>
      <w:jc w:val="left"/>
    </w:pPr>
    <w:rPr>
      <w:bCs w:val="0"/>
      <w:iCs/>
      <w:color w:val="1F497D"/>
      <w:u w:val="single"/>
    </w:rPr>
  </w:style>
  <w:style w:type="character" w:customStyle="1" w:styleId="CitaceintenzivnChar">
    <w:name w:val="Citace – intenzivní Char"/>
    <w:aliases w:val="Odkaz Char"/>
    <w:link w:val="Citaceintenzivn"/>
    <w:uiPriority w:val="1"/>
    <w:rsid w:val="00C07D4F"/>
    <w:rPr>
      <w:rFonts w:ascii="Arial" w:hAnsi="Arial" w:cs="Arial"/>
      <w:iCs/>
      <w:color w:val="1F497D"/>
      <w:sz w:val="22"/>
      <w:szCs w:val="22"/>
      <w:u w:val="single"/>
    </w:rPr>
  </w:style>
  <w:style w:type="table" w:styleId="Svtlstnovn">
    <w:name w:val="Light Shading"/>
    <w:basedOn w:val="Normlntabulka"/>
    <w:uiPriority w:val="60"/>
    <w:rsid w:val="00394F75"/>
    <w:pPr>
      <w:jc w:val="center"/>
    </w:pPr>
    <w:rPr>
      <w:rFonts w:asciiTheme="minorHAnsi" w:hAnsiTheme="minorHAnsi"/>
      <w:color w:val="595959" w:themeColor="text1" w:themeTint="A6"/>
      <w:sz w:val="22"/>
      <w:szCs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595959" w:themeColor="text1" w:themeTint="A6"/>
        <w:sz w:val="22"/>
      </w:rPr>
      <w:tblPr/>
      <w:tcPr>
        <w:tcBorders>
          <w:top w:val="single" w:sz="4" w:space="0" w:color="595959" w:themeColor="text1" w:themeTint="A6"/>
          <w:left w:val="nil"/>
          <w:bottom w:val="single" w:sz="4" w:space="0" w:color="595959" w:themeColor="text1" w:themeTint="A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rFonts w:asciiTheme="minorHAnsi" w:hAnsiTheme="minorHAnsi"/>
        <w:b/>
        <w:bCs/>
      </w:rPr>
      <w:tblPr/>
      <w:tcPr>
        <w:tcBorders>
          <w:top w:val="single" w:sz="4" w:space="0" w:color="595959" w:themeColor="text1" w:themeTint="A6"/>
          <w:left w:val="nil"/>
          <w:bottom w:val="single" w:sz="4" w:space="0" w:color="595959" w:themeColor="text1" w:themeTint="A6"/>
          <w:right w:val="nil"/>
          <w:insideH w:val="nil"/>
          <w:insideV w:val="nil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lned">
    <w:name w:val="Normální šedý"/>
    <w:basedOn w:val="Normln"/>
    <w:qFormat/>
    <w:rsid w:val="00FA39FA"/>
    <w:rPr>
      <w:rFonts w:cs="Times New Roman"/>
      <w:bCs w:val="0"/>
      <w:lang w:eastAsia="en-US"/>
    </w:rPr>
  </w:style>
  <w:style w:type="table" w:styleId="Mkatabulky">
    <w:name w:val="Table Grid"/>
    <w:basedOn w:val="Normlntabulka"/>
    <w:locked/>
    <w:rsid w:val="00B22B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jemn">
    <w:name w:val="Subtle Emphasis"/>
    <w:basedOn w:val="Standardnpsmoodstavce"/>
    <w:uiPriority w:val="19"/>
    <w:qFormat/>
    <w:rsid w:val="00B22B1D"/>
    <w:rPr>
      <w:rFonts w:ascii="Arial" w:hAnsi="Arial"/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B22B1D"/>
    <w:rPr>
      <w:rFonts w:ascii="Arial" w:hAnsi="Arial"/>
      <w:b/>
      <w:bCs/>
      <w:i/>
      <w:iCs/>
      <w:color w:val="4F81BD" w:themeColor="accent1"/>
    </w:rPr>
  </w:style>
  <w:style w:type="paragraph" w:styleId="Bezmezer">
    <w:name w:val="No Spacing"/>
    <w:uiPriority w:val="1"/>
    <w:qFormat/>
    <w:rsid w:val="00FA39FA"/>
    <w:pPr>
      <w:jc w:val="both"/>
    </w:pPr>
    <w:rPr>
      <w:rFonts w:ascii="Arial" w:hAnsi="Arial" w:cs="Arial"/>
      <w:bCs/>
      <w:color w:val="595959" w:themeColor="text1" w:themeTint="A6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D85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aaaaaaaa_Sablony_Word_2018%20a%20PPT%20atd\sablona_hlavickovy-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DFF96-3D5C-412B-9589-FC84077E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sablona_hlavickovy-papir.dotx</Template>
  <TotalTime>13</TotalTime>
  <Pages>2</Pages>
  <Words>773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Ammmammkakakkakkakskdscncn</vt:lpstr>
    </vt:vector>
  </TitlesOfParts>
  <Company>Microsoft</Company>
  <LinksUpToDate>false</LinksUpToDate>
  <CharactersWithSpaces>5046</CharactersWithSpaces>
  <SharedDoc>false</SharedDoc>
  <HLinks>
    <vt:vector size="18" baseType="variant"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http://www.cng4you.cz/</vt:lpwstr>
      </vt:variant>
      <vt:variant>
        <vt:lpwstr/>
      </vt:variant>
      <vt:variant>
        <vt:i4>5111914</vt:i4>
      </vt:variant>
      <vt:variant>
        <vt:i4>3</vt:i4>
      </vt:variant>
      <vt:variant>
        <vt:i4>0</vt:i4>
      </vt:variant>
      <vt:variant>
        <vt:i4>5</vt:i4>
      </vt:variant>
      <vt:variant>
        <vt:lpwstr>mailto:plyn@cgoa.cz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mailto:cpsvaz@cgoa.cz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Ammmammkakakkakkakskdscncn</dc:title>
  <dc:creator>Autor2</dc:creator>
  <cp:lastModifiedBy>Autor2</cp:lastModifiedBy>
  <cp:revision>2</cp:revision>
  <cp:lastPrinted>2018-10-10T11:02:00Z</cp:lastPrinted>
  <dcterms:created xsi:type="dcterms:W3CDTF">2019-07-12T08:59:00Z</dcterms:created>
  <dcterms:modified xsi:type="dcterms:W3CDTF">2019-07-12T09:12:00Z</dcterms:modified>
</cp:coreProperties>
</file>