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4B" w:rsidRDefault="00DC70C9" w:rsidP="00DC70C9">
      <w:pPr>
        <w:pStyle w:val="Nadpis1"/>
      </w:pPr>
      <w:bookmarkStart w:id="0" w:name="_GoBack"/>
      <w:bookmarkEnd w:id="0"/>
      <w:r w:rsidRPr="00DC70C9">
        <w:t>Připomínky ČPS k návrhu zákona o odpadech</w:t>
      </w:r>
    </w:p>
    <w:p w:rsidR="00DC70C9" w:rsidRDefault="00DC70C9" w:rsidP="00DC70C9">
      <w:pPr>
        <w:pStyle w:val="Odstavecseseznamem"/>
        <w:tabs>
          <w:tab w:val="left" w:pos="567"/>
        </w:tabs>
        <w:spacing w:after="0" w:line="240" w:lineRule="auto"/>
        <w:ind w:left="0"/>
        <w:contextualSpacing w:val="0"/>
        <w:jc w:val="both"/>
        <w:rPr>
          <w:b/>
        </w:rPr>
      </w:pPr>
    </w:p>
    <w:p w:rsidR="00DC70C9" w:rsidRPr="00DC70C9" w:rsidRDefault="00DC70C9" w:rsidP="00DC70C9">
      <w:pPr>
        <w:tabs>
          <w:tab w:val="left" w:pos="567"/>
        </w:tabs>
        <w:rPr>
          <w:b/>
        </w:rPr>
      </w:pPr>
      <w:r w:rsidRPr="00DF55BF">
        <w:rPr>
          <w:b/>
          <w:highlight w:val="green"/>
        </w:rPr>
        <w:t>1. Připomínka k absenci vyhlášek a prováděcích předpisů</w:t>
      </w:r>
      <w:r w:rsidR="00DF55BF">
        <w:rPr>
          <w:b/>
        </w:rPr>
        <w:t xml:space="preserve"> </w:t>
      </w:r>
      <w:r w:rsidR="00DF55BF" w:rsidRPr="00DF55BF">
        <w:rPr>
          <w:i/>
        </w:rPr>
        <w:t>(připomínka 3)</w:t>
      </w:r>
    </w:p>
    <w:p w:rsidR="00DC70C9" w:rsidRPr="00DC70C9" w:rsidRDefault="00DC70C9" w:rsidP="00DC70C9">
      <w:pPr>
        <w:pStyle w:val="Odstavecseseznamem"/>
        <w:tabs>
          <w:tab w:val="left" w:pos="567"/>
        </w:tabs>
        <w:spacing w:after="0" w:line="240" w:lineRule="auto"/>
        <w:ind w:left="0"/>
        <w:jc w:val="both"/>
        <w:rPr>
          <w:lang w:eastAsia="cs-CZ"/>
        </w:rPr>
      </w:pPr>
      <w:r w:rsidRPr="00DC70C9">
        <w:rPr>
          <w:lang w:eastAsia="cs-CZ"/>
        </w:rPr>
        <w:t>Předložený návrh zákona o odpadech (dále jen ZOO) neobsahuje návrhy nových prováděcích předpisů k tomuto zákonu, který ZOO ve svých ustanoveních obsahuje a dokonce nejsou uvedeny ani jejich teze, takže není možné odpovídajícím způsobem posoudit a závazně se vyjádřit k</w:t>
      </w:r>
      <w:r>
        <w:rPr>
          <w:lang w:eastAsia="cs-CZ"/>
        </w:rPr>
        <w:t> </w:t>
      </w:r>
      <w:r w:rsidRPr="00DC70C9">
        <w:rPr>
          <w:lang w:eastAsia="cs-CZ"/>
        </w:rPr>
        <w:t>dotčeným paragrafům, protože není zřejmé, kam směřují a jaký budou mít dopad. Je to velký problém, který komplikuje projednávání ZOO.</w:t>
      </w:r>
    </w:p>
    <w:p w:rsidR="00DC70C9" w:rsidRPr="00DC70C9" w:rsidRDefault="00DC70C9" w:rsidP="00DC70C9">
      <w:pPr>
        <w:pStyle w:val="Odstavecseseznamem"/>
        <w:tabs>
          <w:tab w:val="left" w:pos="567"/>
        </w:tabs>
        <w:spacing w:after="0" w:line="240" w:lineRule="auto"/>
        <w:ind w:left="0"/>
        <w:jc w:val="both"/>
        <w:rPr>
          <w:b/>
        </w:rPr>
      </w:pPr>
      <w:r>
        <w:rPr>
          <w:b/>
        </w:rPr>
        <w:t>Odůvodnění:</w:t>
      </w:r>
    </w:p>
    <w:p w:rsidR="00DC70C9" w:rsidRPr="00DC70C9" w:rsidRDefault="00DC70C9" w:rsidP="00DC70C9">
      <w:pPr>
        <w:pStyle w:val="Odstavecseseznamem"/>
        <w:tabs>
          <w:tab w:val="left" w:pos="567"/>
        </w:tabs>
        <w:spacing w:after="0" w:line="240" w:lineRule="auto"/>
        <w:ind w:left="0"/>
        <w:jc w:val="both"/>
        <w:rPr>
          <w:lang w:eastAsia="cs-CZ"/>
        </w:rPr>
      </w:pPr>
      <w:r w:rsidRPr="00DC70C9">
        <w:rPr>
          <w:lang w:eastAsia="cs-CZ"/>
        </w:rPr>
        <w:t>Mnoho vyhlášek může silně ovlivnit aplikovatelnost zákona (např. stanovení podílu recyklovatelných složek), v některých se může vyloučit použití některých technologií a výrazně tak ovlivnit smysl zákona (např. §62 – vyhláška může zcela vyloučit bioplynové stanice z přehledu technologií zpracovávajících biologicky rozložitelný odpad).</w:t>
      </w:r>
    </w:p>
    <w:p w:rsidR="00DC70C9" w:rsidRPr="00DC70C9" w:rsidRDefault="00DC70C9" w:rsidP="00DC70C9">
      <w:pPr>
        <w:pStyle w:val="Odstavecseseznamem"/>
        <w:tabs>
          <w:tab w:val="left" w:pos="567"/>
        </w:tabs>
        <w:spacing w:after="0" w:line="240" w:lineRule="auto"/>
        <w:ind w:left="0"/>
        <w:contextualSpacing w:val="0"/>
        <w:jc w:val="both"/>
        <w:rPr>
          <w:b/>
        </w:rPr>
      </w:pPr>
    </w:p>
    <w:p w:rsidR="00DC70C9" w:rsidRPr="00DC70C9" w:rsidRDefault="00DC70C9" w:rsidP="00DC70C9">
      <w:pPr>
        <w:pStyle w:val="Odstavecseseznamem"/>
        <w:tabs>
          <w:tab w:val="left" w:pos="567"/>
        </w:tabs>
        <w:spacing w:after="0" w:line="240" w:lineRule="auto"/>
        <w:ind w:left="0"/>
        <w:contextualSpacing w:val="0"/>
        <w:jc w:val="both"/>
        <w:rPr>
          <w:b/>
        </w:rPr>
      </w:pPr>
    </w:p>
    <w:p w:rsidR="00DC70C9" w:rsidRPr="00DC70C9" w:rsidRDefault="00DC70C9" w:rsidP="00DC70C9">
      <w:pPr>
        <w:tabs>
          <w:tab w:val="left" w:pos="567"/>
        </w:tabs>
        <w:rPr>
          <w:b/>
        </w:rPr>
      </w:pPr>
      <w:r w:rsidRPr="00DF55BF">
        <w:rPr>
          <w:b/>
          <w:highlight w:val="green"/>
        </w:rPr>
        <w:t>2. Připomínka k § 3 – hierarchie odpadů</w:t>
      </w:r>
      <w:r w:rsidR="00DF55BF">
        <w:rPr>
          <w:b/>
        </w:rPr>
        <w:t xml:space="preserve"> </w:t>
      </w:r>
      <w:r w:rsidR="00DF55BF" w:rsidRPr="00DF55BF">
        <w:rPr>
          <w:i/>
        </w:rPr>
        <w:t>(připomínka 4)</w:t>
      </w:r>
    </w:p>
    <w:p w:rsidR="00DC70C9" w:rsidRPr="00DC70C9" w:rsidRDefault="00DC70C9" w:rsidP="00DC70C9">
      <w:pPr>
        <w:pStyle w:val="Odstavecseseznamem"/>
        <w:tabs>
          <w:tab w:val="left" w:pos="567"/>
        </w:tabs>
        <w:spacing w:after="0" w:line="240" w:lineRule="auto"/>
        <w:ind w:left="0"/>
        <w:jc w:val="both"/>
      </w:pPr>
      <w:r w:rsidRPr="00DC70C9">
        <w:t xml:space="preserve">Navrhujeme upravit definici hierarchie tak, aby byla stanovena jednoznačná a srozumitelná posloupnost nakládání s odpady a ze zákona skutečně podpora hierarchie vyplývala. </w:t>
      </w:r>
    </w:p>
    <w:p w:rsidR="00DC70C9" w:rsidRPr="00DC70C9" w:rsidRDefault="00DC70C9" w:rsidP="00DC70C9">
      <w:pPr>
        <w:pStyle w:val="Odstavecseseznamem"/>
        <w:tabs>
          <w:tab w:val="left" w:pos="567"/>
        </w:tabs>
        <w:spacing w:after="0" w:line="240" w:lineRule="auto"/>
        <w:ind w:left="0"/>
        <w:jc w:val="both"/>
      </w:pPr>
      <w:r w:rsidRPr="00DC70C9">
        <w:t>Přitom by se u biologického odpadu měly zohlednit i možnosti jeho technologicky optimálního použití a energetická efektivita využití primární energie obsažené v biomase.</w:t>
      </w:r>
    </w:p>
    <w:p w:rsidR="00DC70C9" w:rsidRPr="00DC70C9" w:rsidRDefault="00DC70C9" w:rsidP="00DC70C9">
      <w:pPr>
        <w:pStyle w:val="Odstavecseseznamem"/>
        <w:tabs>
          <w:tab w:val="left" w:pos="567"/>
        </w:tabs>
        <w:spacing w:after="0" w:line="240" w:lineRule="auto"/>
        <w:ind w:left="0"/>
        <w:jc w:val="both"/>
        <w:rPr>
          <w:b/>
        </w:rPr>
      </w:pPr>
      <w:r>
        <w:rPr>
          <w:b/>
        </w:rPr>
        <w:t>Odůvodnění:</w:t>
      </w:r>
    </w:p>
    <w:p w:rsidR="00DC70C9" w:rsidRPr="00DC70C9" w:rsidRDefault="00DC70C9" w:rsidP="00DC70C9">
      <w:pPr>
        <w:pStyle w:val="Odstavecseseznamem"/>
        <w:tabs>
          <w:tab w:val="left" w:pos="567"/>
        </w:tabs>
        <w:spacing w:after="0" w:line="240" w:lineRule="auto"/>
        <w:ind w:left="0"/>
        <w:jc w:val="both"/>
      </w:pPr>
      <w:r w:rsidRPr="00DC70C9">
        <w:t>Pokud se jedná o biologický odpad, jde o to, aby se po</w:t>
      </w:r>
      <w:r>
        <w:t>travinářský a kuchyňský odpad z </w:t>
      </w:r>
      <w:r w:rsidRPr="00DC70C9">
        <w:t xml:space="preserve">domácností, restaurací, velkoobchodu, jídelen, stravovacích nebo maloobchodních zařízení byl využit především jako surovina pro výrobu bioplynu respektive </w:t>
      </w:r>
      <w:proofErr w:type="spellStart"/>
      <w:r w:rsidRPr="00DC70C9">
        <w:t>biometanu</w:t>
      </w:r>
      <w:proofErr w:type="spellEnd"/>
      <w:r w:rsidRPr="00DC70C9">
        <w:t xml:space="preserve"> konkrétně tzv. pokročilého </w:t>
      </w:r>
      <w:proofErr w:type="spellStart"/>
      <w:r w:rsidRPr="00DC70C9">
        <w:t>biometanu</w:t>
      </w:r>
      <w:proofErr w:type="spellEnd"/>
      <w:r w:rsidRPr="00DC70C9">
        <w:t>, který by měl významně přispět k plnění cílů v oblasti obnovitelných zdrojů do r. 2030 v dopravě, jež pro ČR vyplývají ze směrnice č. 2018/2001/EU o podpoře využívání obnovitelných zdrojů energie, jak to předpokládá návrh „Vnitrostátního plánu pro obla</w:t>
      </w:r>
      <w:r>
        <w:t>st energie a </w:t>
      </w:r>
      <w:r w:rsidRPr="00DC70C9">
        <w:t xml:space="preserve">klimatu.“ Tento odpad je ideální surovinou pro jeho výrobu po stránce technologické, je plně v souladu s přílohou č. IX uvedené směrnice jako pokročilá surovina a po stránce energetické dochází k jeho využití v bioplynových stanicích na úrovni 80% primární energie. Takovéto využití by mělo být preferováno před jeho kompostováním nebo spalováním ve spalovnách, kde s ohledem na jeho konzistenci jednak spíše komplikuje proces hoření a jednak jeho energetické využití je významně nižší než při výrobě bioplynu. </w:t>
      </w:r>
    </w:p>
    <w:p w:rsidR="00DC70C9" w:rsidRPr="00DC70C9" w:rsidRDefault="00DC70C9" w:rsidP="00DC70C9">
      <w:pPr>
        <w:pStyle w:val="Odstavecseseznamem"/>
        <w:tabs>
          <w:tab w:val="left" w:pos="567"/>
        </w:tabs>
        <w:spacing w:after="0" w:line="240" w:lineRule="auto"/>
        <w:ind w:left="0"/>
        <w:jc w:val="both"/>
      </w:pPr>
      <w:r w:rsidRPr="00DC70C9">
        <w:t>Z těchto důvodů by mělo být z pohledu hierarchie nakládání s odpady preferováno třídění biologického odpadu s cílem maximalizovat jeho energetické využití v odpovídajících technologiích před jeho jednostranným spalováním.</w:t>
      </w:r>
    </w:p>
    <w:p w:rsidR="00DC70C9" w:rsidRPr="00DC70C9" w:rsidRDefault="00DC70C9" w:rsidP="00DC70C9">
      <w:pPr>
        <w:pStyle w:val="Odstavecseseznamem"/>
        <w:tabs>
          <w:tab w:val="left" w:pos="567"/>
        </w:tabs>
        <w:spacing w:after="0" w:line="240" w:lineRule="auto"/>
        <w:ind w:left="0"/>
        <w:contextualSpacing w:val="0"/>
        <w:jc w:val="both"/>
        <w:rPr>
          <w:b/>
        </w:rPr>
      </w:pPr>
    </w:p>
    <w:p w:rsidR="00DC70C9" w:rsidRPr="00DC70C9" w:rsidRDefault="00DC70C9" w:rsidP="00DC70C9">
      <w:pPr>
        <w:tabs>
          <w:tab w:val="left" w:pos="567"/>
        </w:tabs>
        <w:rPr>
          <w:b/>
        </w:rPr>
      </w:pPr>
      <w:r w:rsidRPr="00DF55BF">
        <w:rPr>
          <w:b/>
          <w:highlight w:val="green"/>
        </w:rPr>
        <w:t>3. Připomínka k definici recyklace odpadů - § 3 odst. 2, § 35 odst. 3 § 36 odst. 5</w:t>
      </w:r>
      <w:r w:rsidR="00DF55BF">
        <w:rPr>
          <w:b/>
        </w:rPr>
        <w:t xml:space="preserve"> </w:t>
      </w:r>
      <w:r w:rsidR="00DF55BF" w:rsidRPr="00DF55BF">
        <w:rPr>
          <w:i/>
        </w:rPr>
        <w:t>(připomínka 6)</w:t>
      </w:r>
    </w:p>
    <w:p w:rsidR="00DC70C9" w:rsidRPr="00DC70C9" w:rsidRDefault="00DC70C9" w:rsidP="00DC70C9">
      <w:pPr>
        <w:pStyle w:val="Odstavecseseznamem"/>
        <w:tabs>
          <w:tab w:val="left" w:pos="567"/>
        </w:tabs>
        <w:spacing w:after="0" w:line="240" w:lineRule="auto"/>
        <w:ind w:left="0"/>
        <w:jc w:val="both"/>
      </w:pPr>
      <w:r w:rsidRPr="00DC70C9">
        <w:t>Z výše uvedených ustanovení ZOO není jednoznačně zřejmé, co je to recyklace, například patří biologicky rozložitelný odpad pod recyklovatelný odpad. Nutno jednoznačně definovat.</w:t>
      </w:r>
    </w:p>
    <w:p w:rsidR="00DC70C9" w:rsidRPr="00DC70C9" w:rsidRDefault="00DC70C9" w:rsidP="00DC70C9">
      <w:pPr>
        <w:pStyle w:val="Odstavecseseznamem"/>
        <w:tabs>
          <w:tab w:val="left" w:pos="567"/>
        </w:tabs>
        <w:spacing w:after="0" w:line="240" w:lineRule="auto"/>
        <w:ind w:left="0"/>
        <w:jc w:val="both"/>
        <w:rPr>
          <w:b/>
        </w:rPr>
      </w:pPr>
      <w:r w:rsidRPr="00DC70C9">
        <w:rPr>
          <w:b/>
        </w:rPr>
        <w:t>Odůvodn</w:t>
      </w:r>
      <w:r>
        <w:rPr>
          <w:b/>
        </w:rPr>
        <w:t>ění:</w:t>
      </w:r>
    </w:p>
    <w:p w:rsidR="00DC70C9" w:rsidRPr="00DC70C9" w:rsidRDefault="00DC70C9" w:rsidP="00DC70C9">
      <w:pPr>
        <w:pStyle w:val="Odstavecseseznamem"/>
        <w:tabs>
          <w:tab w:val="left" w:pos="567"/>
        </w:tabs>
        <w:spacing w:after="0" w:line="240" w:lineRule="auto"/>
        <w:ind w:left="0"/>
        <w:jc w:val="both"/>
      </w:pPr>
      <w:r w:rsidRPr="00DC70C9">
        <w:t>V §</w:t>
      </w:r>
      <w:r>
        <w:t xml:space="preserve"> </w:t>
      </w:r>
      <w:r w:rsidRPr="00DC70C9">
        <w:t xml:space="preserve">3 odst. 2 se uvádí „… recyklace nebo jiné využití, včetně energetického využití …“ tj. podle tohoto ustanovení by zpracování biologicky rozložitelného odpadu </w:t>
      </w:r>
      <w:r w:rsidRPr="00DC70C9">
        <w:rPr>
          <w:b/>
        </w:rPr>
        <w:t>nebyla recyklace</w:t>
      </w:r>
      <w:r w:rsidRPr="00DC70C9">
        <w:t>, ale v §</w:t>
      </w:r>
      <w:r>
        <w:t xml:space="preserve"> </w:t>
      </w:r>
      <w:r w:rsidRPr="00DC70C9">
        <w:t>35 odst. 3 nebo §</w:t>
      </w:r>
      <w:r>
        <w:t xml:space="preserve"> </w:t>
      </w:r>
      <w:r w:rsidRPr="00DC70C9">
        <w:t xml:space="preserve">36 odst. 5 uvádí „… odpady vhodné k opětovnému použití nebo recyklaci, zejména </w:t>
      </w:r>
      <w:r w:rsidRPr="00DC70C9">
        <w:lastRenderedPageBreak/>
        <w:t xml:space="preserve">papír, plasty, sklo, kovy, textil a biologický odpad …“ tj. zde takové zpracování </w:t>
      </w:r>
      <w:r w:rsidRPr="00DC70C9">
        <w:rPr>
          <w:b/>
        </w:rPr>
        <w:t xml:space="preserve">je recyklace. </w:t>
      </w:r>
      <w:r w:rsidRPr="00DC70C9">
        <w:t>Zásadní dopad toto rozlišení má například na §</w:t>
      </w:r>
      <w:r>
        <w:t xml:space="preserve"> </w:t>
      </w:r>
      <w:r w:rsidRPr="00DC70C9">
        <w:t>59 odst. 3, který se týká cíle obcí v recyklaci odpadu.</w:t>
      </w:r>
    </w:p>
    <w:p w:rsidR="00DC70C9" w:rsidRPr="00DC70C9" w:rsidRDefault="00DC70C9" w:rsidP="00DC70C9">
      <w:pPr>
        <w:pStyle w:val="Odstavecseseznamem"/>
        <w:tabs>
          <w:tab w:val="left" w:pos="567"/>
        </w:tabs>
        <w:spacing w:after="0" w:line="240" w:lineRule="auto"/>
        <w:ind w:left="0"/>
        <w:contextualSpacing w:val="0"/>
        <w:jc w:val="both"/>
        <w:rPr>
          <w:b/>
        </w:rPr>
      </w:pPr>
    </w:p>
    <w:p w:rsidR="00DC70C9" w:rsidRPr="00DC70C9" w:rsidRDefault="00DC70C9" w:rsidP="00DC70C9">
      <w:pPr>
        <w:pStyle w:val="Odstavecseseznamem"/>
        <w:tabs>
          <w:tab w:val="left" w:pos="567"/>
        </w:tabs>
        <w:spacing w:after="0" w:line="240" w:lineRule="auto"/>
        <w:ind w:left="0"/>
        <w:contextualSpacing w:val="0"/>
        <w:jc w:val="both"/>
        <w:rPr>
          <w:b/>
        </w:rPr>
      </w:pPr>
    </w:p>
    <w:p w:rsidR="00DC70C9" w:rsidRPr="00DC70C9" w:rsidRDefault="00DC70C9" w:rsidP="00DC70C9">
      <w:pPr>
        <w:tabs>
          <w:tab w:val="left" w:pos="567"/>
        </w:tabs>
        <w:rPr>
          <w:b/>
        </w:rPr>
      </w:pPr>
      <w:r w:rsidRPr="003C245E">
        <w:rPr>
          <w:b/>
          <w:highlight w:val="green"/>
        </w:rPr>
        <w:t>4. Připomínka k § 32 odst. 4</w:t>
      </w:r>
      <w:r w:rsidR="003C245E">
        <w:rPr>
          <w:b/>
        </w:rPr>
        <w:t xml:space="preserve"> </w:t>
      </w:r>
      <w:r w:rsidR="003C245E" w:rsidRPr="003C245E">
        <w:rPr>
          <w:i/>
        </w:rPr>
        <w:t>(připomínka 49)</w:t>
      </w:r>
    </w:p>
    <w:p w:rsidR="00DC70C9" w:rsidRPr="00DC70C9" w:rsidRDefault="00DC70C9" w:rsidP="00DC70C9">
      <w:pPr>
        <w:pStyle w:val="Odstavecseseznamem"/>
        <w:tabs>
          <w:tab w:val="left" w:pos="567"/>
        </w:tabs>
        <w:spacing w:after="0" w:line="240" w:lineRule="auto"/>
        <w:ind w:left="0"/>
        <w:jc w:val="both"/>
      </w:pPr>
      <w:r w:rsidRPr="00DC70C9">
        <w:t>Požadujeme vypustit toto ustanovení bez náhrady.</w:t>
      </w:r>
    </w:p>
    <w:p w:rsidR="00DC70C9" w:rsidRPr="00DC70C9" w:rsidRDefault="00DC70C9" w:rsidP="00DC70C9">
      <w:pPr>
        <w:pStyle w:val="Odstavecseseznamem"/>
        <w:tabs>
          <w:tab w:val="left" w:pos="567"/>
        </w:tabs>
        <w:spacing w:after="0" w:line="240" w:lineRule="auto"/>
        <w:ind w:left="0"/>
        <w:jc w:val="both"/>
        <w:rPr>
          <w:i/>
          <w:strike/>
        </w:rPr>
      </w:pPr>
      <w:r w:rsidRPr="00DC70C9">
        <w:rPr>
          <w:i/>
          <w:strike/>
        </w:rPr>
        <w:t>(4) Do mobilního zařízení ke sběru odpadu mohou být přebírány odpady pouze od jejich původce a odpady nesmí být z mobilního zařízení ke sběru odpadu předávány do jiného mobilního zařízení určeného pro nakládání s odpady.</w:t>
      </w:r>
    </w:p>
    <w:p w:rsidR="00DC70C9" w:rsidRPr="00DC70C9" w:rsidRDefault="00DC70C9" w:rsidP="00DC70C9">
      <w:pPr>
        <w:pStyle w:val="Odstavecseseznamem"/>
        <w:tabs>
          <w:tab w:val="left" w:pos="567"/>
        </w:tabs>
        <w:spacing w:after="0" w:line="240" w:lineRule="auto"/>
        <w:ind w:left="0"/>
        <w:jc w:val="both"/>
        <w:rPr>
          <w:b/>
        </w:rPr>
      </w:pPr>
      <w:r>
        <w:rPr>
          <w:b/>
        </w:rPr>
        <w:t>Odůvodnění:</w:t>
      </w:r>
    </w:p>
    <w:p w:rsidR="00DC70C9" w:rsidRPr="00DC70C9" w:rsidRDefault="00DC70C9" w:rsidP="00DC70C9">
      <w:pPr>
        <w:pStyle w:val="Odstavecseseznamem"/>
        <w:tabs>
          <w:tab w:val="left" w:pos="567"/>
        </w:tabs>
        <w:spacing w:after="0" w:line="240" w:lineRule="auto"/>
        <w:ind w:left="0"/>
        <w:jc w:val="both"/>
      </w:pPr>
      <w:r w:rsidRPr="00DC70C9">
        <w:rPr>
          <w:rFonts w:eastAsia="Calibri" w:cs="Arial"/>
        </w:rPr>
        <w:t xml:space="preserve">V případě ponechání tohoto ustanovení v ZOO by došlo k zásadní komplikaci při svozu zejména separovaného (např. biologického odpadu) z malých obcí do velkých měst ke třídění, aby došlo k jejich efektivnímu využití. Vyloučila by se tím možnost svozu odpadu po silnici na místo předání jiné firmě přepravující odpad ve velkém </w:t>
      </w:r>
      <w:proofErr w:type="gramStart"/>
      <w:r w:rsidRPr="00DC70C9">
        <w:rPr>
          <w:rFonts w:eastAsia="Calibri" w:cs="Arial"/>
        </w:rPr>
        <w:t>vlakem</w:t>
      </w:r>
      <w:proofErr w:type="gramEnd"/>
      <w:r w:rsidRPr="00DC70C9">
        <w:rPr>
          <w:rFonts w:eastAsia="Calibri" w:cs="Arial"/>
        </w:rPr>
        <w:t>. Z pohledu zodpovědnosti za odpad nevidíme ve zrušení tohoto odstavce problém, protože převzetím odpadu do mobilního zařízení přebírá jeho provozovatel v místě nakládky odpad do svého vlastnictví a s tím veškerou odpovědnost z toho vyplývající.</w:t>
      </w:r>
    </w:p>
    <w:p w:rsidR="00DC70C9" w:rsidRPr="00DC70C9" w:rsidRDefault="00DC70C9" w:rsidP="00DC70C9">
      <w:pPr>
        <w:pStyle w:val="Odstavecseseznamem"/>
        <w:tabs>
          <w:tab w:val="left" w:pos="567"/>
        </w:tabs>
        <w:spacing w:after="0" w:line="240" w:lineRule="auto"/>
        <w:ind w:left="0"/>
        <w:contextualSpacing w:val="0"/>
        <w:jc w:val="both"/>
        <w:rPr>
          <w:b/>
        </w:rPr>
      </w:pPr>
    </w:p>
    <w:p w:rsidR="00DC70C9" w:rsidRPr="003C245E" w:rsidRDefault="00DC70C9" w:rsidP="00DC70C9">
      <w:pPr>
        <w:tabs>
          <w:tab w:val="left" w:pos="567"/>
        </w:tabs>
        <w:rPr>
          <w:i/>
        </w:rPr>
      </w:pPr>
      <w:r w:rsidRPr="003C245E">
        <w:rPr>
          <w:b/>
          <w:highlight w:val="red"/>
        </w:rPr>
        <w:t>5. Připomínka k § 39 odst. 1 - posunutí termínu zákazu skládkování odpadů</w:t>
      </w:r>
      <w:r w:rsidR="003C245E">
        <w:rPr>
          <w:b/>
        </w:rPr>
        <w:t xml:space="preserve"> </w:t>
      </w:r>
      <w:r w:rsidR="003C245E">
        <w:rPr>
          <w:i/>
        </w:rPr>
        <w:t>(p</w:t>
      </w:r>
      <w:r w:rsidR="003C245E" w:rsidRPr="003C245E">
        <w:rPr>
          <w:i/>
        </w:rPr>
        <w:t>řipomínka 100</w:t>
      </w:r>
      <w:r w:rsidR="003C245E">
        <w:rPr>
          <w:i/>
        </w:rPr>
        <w:t>)</w:t>
      </w:r>
    </w:p>
    <w:p w:rsidR="00DC70C9" w:rsidRPr="00DC70C9" w:rsidRDefault="00DC70C9" w:rsidP="00DC70C9">
      <w:pPr>
        <w:tabs>
          <w:tab w:val="left" w:pos="567"/>
        </w:tabs>
        <w:rPr>
          <w:b/>
        </w:rPr>
      </w:pPr>
      <w:r w:rsidRPr="00DC70C9">
        <w:rPr>
          <w:b/>
        </w:rPr>
        <w:t>Alternativa I.</w:t>
      </w:r>
    </w:p>
    <w:p w:rsidR="00DC70C9" w:rsidRPr="00DC70C9" w:rsidRDefault="00DC70C9" w:rsidP="00DC70C9">
      <w:pPr>
        <w:tabs>
          <w:tab w:val="left" w:pos="567"/>
        </w:tabs>
        <w:rPr>
          <w:b/>
        </w:rPr>
      </w:pPr>
      <w:r w:rsidRPr="00DC70C9">
        <w:t>V § 39 (1) požadujeme změnit datum omezení skládkování z 1. ledna 2030 na 1. ledna 2026.</w:t>
      </w:r>
    </w:p>
    <w:p w:rsidR="00DC70C9" w:rsidRPr="00DC70C9" w:rsidRDefault="00DC70C9" w:rsidP="00DC70C9">
      <w:pPr>
        <w:pStyle w:val="Odstavecseseznamem"/>
        <w:tabs>
          <w:tab w:val="left" w:pos="567"/>
        </w:tabs>
        <w:spacing w:after="0" w:line="240" w:lineRule="auto"/>
        <w:ind w:left="0"/>
        <w:jc w:val="both"/>
        <w:rPr>
          <w:b/>
        </w:rPr>
      </w:pPr>
      <w:r w:rsidRPr="00DC70C9">
        <w:rPr>
          <w:b/>
        </w:rPr>
        <w:t>Odůvodnění:</w:t>
      </w:r>
    </w:p>
    <w:p w:rsidR="00DC70C9" w:rsidRPr="00DC70C9" w:rsidRDefault="00DC70C9" w:rsidP="00DC70C9">
      <w:pPr>
        <w:pStyle w:val="Odstavecseseznamem"/>
        <w:tabs>
          <w:tab w:val="left" w:pos="567"/>
        </w:tabs>
        <w:spacing w:after="0" w:line="240" w:lineRule="auto"/>
        <w:ind w:left="0"/>
        <w:jc w:val="both"/>
      </w:pPr>
      <w:r w:rsidRPr="00DC70C9">
        <w:t xml:space="preserve">ČR má výrazně omezit ukládání biologicky rozložitelných odpadů na skládky a již v roce 2020 by měla </w:t>
      </w:r>
      <w:proofErr w:type="spellStart"/>
      <w:r w:rsidRPr="00DC70C9">
        <w:t>skládkovat</w:t>
      </w:r>
      <w:proofErr w:type="spellEnd"/>
      <w:r w:rsidRPr="00DC70C9">
        <w:t xml:space="preserve"> pouze 35 % biologicky rozložitelných komunálních odpadů. To se dlouhodobě nedaří, vhodným nástrojem je právě omezení skládkování odpadů. Již dříve bylo oznámeno, že toto omezení bude platné od roku 2024. Odsouvání tohoto záka</w:t>
      </w:r>
      <w:r>
        <w:t>zu o 6 let je zcela nežádoucí a </w:t>
      </w:r>
      <w:r w:rsidRPr="00DC70C9">
        <w:t>nesystematické.</w:t>
      </w:r>
    </w:p>
    <w:p w:rsidR="00DC70C9" w:rsidRPr="00DC70C9" w:rsidRDefault="00DC70C9" w:rsidP="00DC70C9">
      <w:pPr>
        <w:pStyle w:val="Odstavecseseznamem"/>
        <w:tabs>
          <w:tab w:val="left" w:pos="567"/>
        </w:tabs>
        <w:spacing w:after="0" w:line="240" w:lineRule="auto"/>
        <w:ind w:left="0"/>
        <w:jc w:val="both"/>
        <w:rPr>
          <w:b/>
        </w:rPr>
      </w:pPr>
      <w:r w:rsidRPr="00DC70C9">
        <w:t>Kromě závazku ze směrnice o odpadech má ČR snižovat také emise skleníkových plynů. Ty do určité míry vznikají také ukládáním biologicky rozložitelných odpadů na skládky. I z tohoto hlediska je nutné zavést omezení dříve, domníváme se, že technicky a ekonomicky reálný je právě rok 2026</w:t>
      </w:r>
    </w:p>
    <w:p w:rsidR="00DC70C9" w:rsidRPr="00DC70C9" w:rsidRDefault="00DC70C9" w:rsidP="00DC70C9">
      <w:pPr>
        <w:pStyle w:val="Odstavecseseznamem"/>
        <w:tabs>
          <w:tab w:val="left" w:pos="567"/>
        </w:tabs>
        <w:spacing w:after="0" w:line="240" w:lineRule="auto"/>
        <w:ind w:left="0"/>
        <w:jc w:val="both"/>
        <w:rPr>
          <w:lang w:eastAsia="cs-CZ"/>
        </w:rPr>
      </w:pPr>
    </w:p>
    <w:p w:rsidR="00DC70C9" w:rsidRPr="00DC70C9" w:rsidRDefault="00DC70C9" w:rsidP="00DC70C9">
      <w:pPr>
        <w:pStyle w:val="Odstavecseseznamem"/>
        <w:tabs>
          <w:tab w:val="left" w:pos="567"/>
        </w:tabs>
        <w:spacing w:after="0" w:line="240" w:lineRule="auto"/>
        <w:ind w:left="0"/>
        <w:jc w:val="both"/>
        <w:rPr>
          <w:b/>
          <w:lang w:eastAsia="cs-CZ"/>
        </w:rPr>
      </w:pPr>
      <w:r w:rsidRPr="00DC70C9">
        <w:rPr>
          <w:b/>
          <w:lang w:eastAsia="cs-CZ"/>
        </w:rPr>
        <w:t>Alternativa II.</w:t>
      </w:r>
    </w:p>
    <w:p w:rsidR="00DC70C9" w:rsidRPr="00DC70C9" w:rsidRDefault="00DC70C9" w:rsidP="00DC70C9">
      <w:pPr>
        <w:pStyle w:val="Odstavecseseznamem"/>
        <w:tabs>
          <w:tab w:val="left" w:pos="567"/>
        </w:tabs>
        <w:spacing w:after="0" w:line="240" w:lineRule="auto"/>
        <w:ind w:left="0"/>
        <w:jc w:val="both"/>
        <w:rPr>
          <w:lang w:eastAsia="cs-CZ"/>
        </w:rPr>
      </w:pPr>
      <w:r w:rsidRPr="00DC70C9">
        <w:rPr>
          <w:lang w:eastAsia="cs-CZ"/>
        </w:rPr>
        <w:t>Pokud nebude přijat výše uvedený návrh, tak je pro zajištění splnění odloženého termínu v r. 2030 nezbytné vytvořit náležité motivační ekonomické prostředí v dostatečném předstihu před termínem zákazu skládkování tak, aby zde vznikala alternativní využití odpadů (oproti skládkování) z vyšších stupňů tzv. hierarchie nakládání s odpady. To by mělo vést k faktickému zahájení přípravy a realizace kroků, zajišťujících skutečně všestranné a efektivní využívání odpadů. Proto doporučujeme navýšit postupně poplatek až na výši cca 2 000,- Kč, a to již od roku 2025.</w:t>
      </w:r>
    </w:p>
    <w:p w:rsidR="00DC70C9" w:rsidRPr="00DC70C9" w:rsidRDefault="00DC70C9" w:rsidP="00DC70C9">
      <w:pPr>
        <w:pStyle w:val="Odstavecseseznamem"/>
        <w:tabs>
          <w:tab w:val="left" w:pos="567"/>
        </w:tabs>
        <w:spacing w:after="0" w:line="240" w:lineRule="auto"/>
        <w:ind w:left="0"/>
        <w:jc w:val="both"/>
        <w:rPr>
          <w:lang w:eastAsia="cs-CZ"/>
        </w:rPr>
      </w:pPr>
      <w:r w:rsidRPr="00DC70C9">
        <w:rPr>
          <w:lang w:eastAsia="cs-CZ"/>
        </w:rPr>
        <w:t>Současně navržené ekonomické nástroje v zákoně o odpadech jsou nastaveny pouze do roku 2030 a následně již není stanoven další vývoj. K zajištění zákazu skládkování využitelného odpadu v r. 2030 by nepochybně přispěl i progresivní nárůst ceny za jeho skládkování po r. 2030 (např. až do r. 2040, kde by se poplatek mohl blížit úrovni 2 500,- Kč/t), který by měl být rovněž uveden v zákoně, aby se vyslal pro investory jasný signál, jaký</w:t>
      </w:r>
      <w:r>
        <w:rPr>
          <w:lang w:eastAsia="cs-CZ"/>
        </w:rPr>
        <w:t>m směrem se obor bude vydávat i </w:t>
      </w:r>
      <w:r w:rsidRPr="00DC70C9">
        <w:rPr>
          <w:lang w:eastAsia="cs-CZ"/>
        </w:rPr>
        <w:t>po roce 2030.</w:t>
      </w:r>
    </w:p>
    <w:p w:rsidR="00DC70C9" w:rsidRPr="00DC70C9" w:rsidRDefault="00DC70C9" w:rsidP="00DC70C9">
      <w:pPr>
        <w:pStyle w:val="Odstavecseseznamem"/>
        <w:keepNext/>
        <w:tabs>
          <w:tab w:val="left" w:pos="567"/>
        </w:tabs>
        <w:spacing w:after="0" w:line="240" w:lineRule="auto"/>
        <w:ind w:left="0"/>
        <w:jc w:val="both"/>
        <w:rPr>
          <w:b/>
        </w:rPr>
      </w:pPr>
      <w:r>
        <w:rPr>
          <w:b/>
        </w:rPr>
        <w:lastRenderedPageBreak/>
        <w:t>Odůvodnění:</w:t>
      </w:r>
    </w:p>
    <w:p w:rsidR="00DC70C9" w:rsidRPr="00DC70C9" w:rsidRDefault="00DC70C9" w:rsidP="00DC70C9">
      <w:pPr>
        <w:pStyle w:val="Odstavecseseznamem"/>
        <w:tabs>
          <w:tab w:val="left" w:pos="567"/>
        </w:tabs>
        <w:spacing w:after="0" w:line="240" w:lineRule="auto"/>
        <w:ind w:left="0"/>
        <w:jc w:val="both"/>
        <w:rPr>
          <w:lang w:eastAsia="cs-CZ"/>
        </w:rPr>
      </w:pPr>
      <w:r w:rsidRPr="00DC70C9">
        <w:t>Je nutné vytvořit ekonomickou motivaci pro alternativní využití odpadů v dostatečném předstihu před rokem 2030, aby byla podpořena alternativní řešení využití odpadů oproti skládkování (a tím i efekt na výdaje např. obcí a občanů bude snižován)</w:t>
      </w:r>
      <w:r w:rsidRPr="00DC70C9">
        <w:rPr>
          <w:lang w:eastAsia="cs-CZ"/>
        </w:rPr>
        <w:t xml:space="preserve">. </w:t>
      </w:r>
      <w:r w:rsidRPr="00DC70C9">
        <w:t xml:space="preserve">Samotný termín zákazu skládkování bez doprovodných ekonomických instrumentů otázku oběhového hospodářství a plnění cílů tzv. oběhového balíčku celkově neřeší. Musí se mimo jiné jednat i o jasný signál pro uvolnění investic do budování recyklačního průmyslu či energetického využití odpadů v ČR včetně jeho využití pro výrobu </w:t>
      </w:r>
      <w:proofErr w:type="spellStart"/>
      <w:r w:rsidRPr="00DC70C9">
        <w:t>biometanu</w:t>
      </w:r>
      <w:proofErr w:type="spellEnd"/>
      <w:r w:rsidRPr="00DC70C9">
        <w:t xml:space="preserve">. </w:t>
      </w:r>
      <w:r w:rsidRPr="00DC70C9">
        <w:rPr>
          <w:rFonts w:eastAsia="Times New Roman" w:cs="Helvetica"/>
        </w:rPr>
        <w:t>Jasně a včas deklarované navýšení, postupný náběh, rozvoj investic v alternativách skládkování (poptávky po „odpadech“), funkčně nastavená třídící sleva a zvýšený podíl prvotního třídění spočívající například ve větší separaci jednotlivých druhů biologického odpadu pak dle našeho názoru zamezí nárůstu cen obcím/domácnostem.</w:t>
      </w:r>
    </w:p>
    <w:p w:rsidR="00DC70C9" w:rsidRPr="00DC70C9" w:rsidRDefault="00DC70C9" w:rsidP="00DC70C9">
      <w:pPr>
        <w:pStyle w:val="Odstavecseseznamem"/>
        <w:tabs>
          <w:tab w:val="left" w:pos="567"/>
        </w:tabs>
        <w:spacing w:after="0" w:line="240" w:lineRule="auto"/>
        <w:ind w:left="0"/>
        <w:contextualSpacing w:val="0"/>
        <w:jc w:val="both"/>
        <w:rPr>
          <w:b/>
        </w:rPr>
      </w:pPr>
    </w:p>
    <w:p w:rsidR="00DC70C9" w:rsidRPr="00DC70C9" w:rsidRDefault="00DC70C9" w:rsidP="00DC70C9">
      <w:pPr>
        <w:tabs>
          <w:tab w:val="left" w:pos="567"/>
        </w:tabs>
      </w:pPr>
      <w:r w:rsidRPr="00DC70C9">
        <w:rPr>
          <w:b/>
        </w:rPr>
        <w:t>6. Připomínka k § 39 odst. 1 – limit pro omezení ukládání odpadů na skládky</w:t>
      </w:r>
    </w:p>
    <w:p w:rsidR="00DC70C9" w:rsidRPr="00DC70C9" w:rsidRDefault="00DC70C9" w:rsidP="00DC70C9">
      <w:pPr>
        <w:tabs>
          <w:tab w:val="left" w:pos="567"/>
        </w:tabs>
        <w:rPr>
          <w:b/>
        </w:rPr>
      </w:pPr>
      <w:r w:rsidRPr="00DC70C9">
        <w:t xml:space="preserve">V § 39 odst. 1 požadujeme snížit limit pro omezení ukládání odpadů na skládky z navrhovaných 6,5 </w:t>
      </w:r>
      <w:proofErr w:type="spellStart"/>
      <w:r w:rsidRPr="00DC70C9">
        <w:t>MJ</w:t>
      </w:r>
      <w:proofErr w:type="spellEnd"/>
      <w:r w:rsidRPr="00DC70C9">
        <w:t xml:space="preserve">/kg na 6 </w:t>
      </w:r>
      <w:proofErr w:type="spellStart"/>
      <w:r w:rsidRPr="00DC70C9">
        <w:t>MJ</w:t>
      </w:r>
      <w:proofErr w:type="spellEnd"/>
      <w:r w:rsidRPr="00DC70C9">
        <w:t>/kg v sušině. Dále požadujeme, aby byl tento parametr sledován v sušině, jak předloha navrhuje.</w:t>
      </w:r>
    </w:p>
    <w:p w:rsidR="00DC70C9" w:rsidRPr="00DC70C9" w:rsidRDefault="00DC70C9" w:rsidP="00DC70C9">
      <w:pPr>
        <w:pStyle w:val="Odstavecseseznamem"/>
        <w:tabs>
          <w:tab w:val="left" w:pos="567"/>
        </w:tabs>
        <w:spacing w:after="0" w:line="240" w:lineRule="auto"/>
        <w:ind w:left="0"/>
        <w:jc w:val="both"/>
        <w:rPr>
          <w:b/>
        </w:rPr>
      </w:pPr>
      <w:r w:rsidRPr="00DC70C9">
        <w:rPr>
          <w:b/>
        </w:rPr>
        <w:t>Odůvodnění:</w:t>
      </w:r>
    </w:p>
    <w:p w:rsidR="00DC70C9" w:rsidRPr="00DC70C9" w:rsidRDefault="00DC70C9" w:rsidP="00DC70C9">
      <w:pPr>
        <w:pStyle w:val="Odstavecseseznamem"/>
        <w:tabs>
          <w:tab w:val="left" w:pos="567"/>
        </w:tabs>
        <w:spacing w:after="0" w:line="240" w:lineRule="auto"/>
        <w:ind w:left="0"/>
        <w:jc w:val="both"/>
      </w:pPr>
      <w:r w:rsidRPr="00DC70C9">
        <w:t xml:space="preserve">Snížení hodnoty parametru navrhujeme na základě poznatků z některých sousedních států (Rakousko, Německo), kde je za směrnou považována hodnota 6 </w:t>
      </w:r>
      <w:proofErr w:type="spellStart"/>
      <w:r w:rsidRPr="00DC70C9">
        <w:t>MJ</w:t>
      </w:r>
      <w:proofErr w:type="spellEnd"/>
      <w:r w:rsidRPr="00DC70C9">
        <w:t>/kg v sušině.</w:t>
      </w:r>
    </w:p>
    <w:p w:rsidR="00DC70C9" w:rsidRPr="00DC70C9" w:rsidRDefault="00DC70C9" w:rsidP="00DC70C9">
      <w:pPr>
        <w:pStyle w:val="Odstavecseseznamem"/>
        <w:tabs>
          <w:tab w:val="left" w:pos="567"/>
        </w:tabs>
        <w:spacing w:after="0" w:line="240" w:lineRule="auto"/>
        <w:ind w:left="0"/>
        <w:jc w:val="both"/>
      </w:pPr>
      <w:r w:rsidRPr="00DC70C9">
        <w:t>Tento parametr není možné sledovat v původní hmotě, tedy včetně obsažené vody. Voda má zápornou výhřevnost (k uvolnění energie ze vzorku je nutné nejprve odpařit vodu, což energii spotřebovává). Obsah vody se mění například při skladování, deštěm atd. Případným přidáním vody lze odpad velmi jednoduše upravit.</w:t>
      </w:r>
    </w:p>
    <w:p w:rsidR="00DC70C9" w:rsidRPr="00DC70C9" w:rsidRDefault="00DC70C9" w:rsidP="00DC70C9">
      <w:pPr>
        <w:pStyle w:val="Odstavecseseznamem"/>
        <w:tabs>
          <w:tab w:val="left" w:pos="567"/>
        </w:tabs>
        <w:spacing w:after="0" w:line="240" w:lineRule="auto"/>
        <w:ind w:left="0"/>
        <w:jc w:val="both"/>
        <w:rPr>
          <w:b/>
        </w:rPr>
      </w:pPr>
      <w:r w:rsidRPr="00DC70C9">
        <w:t>Navíc je žádoucí, aby odpad, který lze např. vysušením připravit pro energetické využití byl energeticky využit, proto je nutné sledovat výhřevnost v sušině.</w:t>
      </w:r>
    </w:p>
    <w:p w:rsidR="00DC70C9" w:rsidRPr="00DC70C9" w:rsidRDefault="00DC70C9" w:rsidP="00DC70C9">
      <w:pPr>
        <w:pStyle w:val="Odstavecseseznamem"/>
        <w:tabs>
          <w:tab w:val="left" w:pos="567"/>
        </w:tabs>
        <w:spacing w:after="0" w:line="240" w:lineRule="auto"/>
        <w:ind w:left="0"/>
        <w:contextualSpacing w:val="0"/>
        <w:jc w:val="both"/>
        <w:rPr>
          <w:b/>
        </w:rPr>
      </w:pPr>
    </w:p>
    <w:p w:rsidR="00DC70C9" w:rsidRPr="00DC70C9" w:rsidRDefault="00DC70C9" w:rsidP="00DC70C9">
      <w:pPr>
        <w:pStyle w:val="Odstavecseseznamem"/>
        <w:tabs>
          <w:tab w:val="left" w:pos="567"/>
        </w:tabs>
        <w:spacing w:after="0" w:line="240" w:lineRule="auto"/>
        <w:ind w:left="0"/>
        <w:contextualSpacing w:val="0"/>
        <w:jc w:val="both"/>
        <w:rPr>
          <w:b/>
        </w:rPr>
      </w:pPr>
    </w:p>
    <w:p w:rsidR="00DC70C9" w:rsidRPr="00DC70C9" w:rsidRDefault="00DC70C9" w:rsidP="00DC70C9">
      <w:pPr>
        <w:tabs>
          <w:tab w:val="left" w:pos="567"/>
        </w:tabs>
        <w:rPr>
          <w:b/>
        </w:rPr>
      </w:pPr>
      <w:r w:rsidRPr="003C245E">
        <w:rPr>
          <w:b/>
          <w:highlight w:val="green"/>
        </w:rPr>
        <w:t xml:space="preserve">7. Připomínka k § 41, </w:t>
      </w:r>
      <w:proofErr w:type="spellStart"/>
      <w:proofErr w:type="gramStart"/>
      <w:r w:rsidRPr="003C245E">
        <w:rPr>
          <w:b/>
          <w:highlight w:val="green"/>
        </w:rPr>
        <w:t>odst.6</w:t>
      </w:r>
      <w:proofErr w:type="spellEnd"/>
      <w:r w:rsidRPr="00DC70C9">
        <w:rPr>
          <w:b/>
        </w:rPr>
        <w:t xml:space="preserve"> </w:t>
      </w:r>
      <w:r w:rsidR="003C245E" w:rsidRPr="003C245E">
        <w:rPr>
          <w:i/>
        </w:rPr>
        <w:t>(připomínka</w:t>
      </w:r>
      <w:proofErr w:type="gramEnd"/>
      <w:r w:rsidR="003C245E" w:rsidRPr="003C245E">
        <w:rPr>
          <w:i/>
        </w:rPr>
        <w:t xml:space="preserve"> 60)</w:t>
      </w:r>
    </w:p>
    <w:p w:rsidR="00DC70C9" w:rsidRPr="00DC70C9" w:rsidRDefault="00DC70C9" w:rsidP="00DC70C9">
      <w:pPr>
        <w:tabs>
          <w:tab w:val="left" w:pos="567"/>
        </w:tabs>
      </w:pPr>
      <w:r w:rsidRPr="00DC70C9">
        <w:t>Předložený text odst. 6 navrhujeme upravit takto s vyznačením změn:</w:t>
      </w:r>
    </w:p>
    <w:p w:rsidR="00DC70C9" w:rsidRPr="00DC70C9" w:rsidRDefault="00DC70C9" w:rsidP="00DC70C9">
      <w:pPr>
        <w:tabs>
          <w:tab w:val="left" w:pos="567"/>
        </w:tabs>
        <w:rPr>
          <w:b/>
        </w:rPr>
      </w:pPr>
    </w:p>
    <w:p w:rsidR="00DC70C9" w:rsidRPr="00DC70C9" w:rsidRDefault="00DC70C9" w:rsidP="00DC70C9">
      <w:pPr>
        <w:tabs>
          <w:tab w:val="left" w:pos="567"/>
        </w:tabs>
        <w:rPr>
          <w:b/>
        </w:rPr>
      </w:pPr>
      <w:r w:rsidRPr="00DC70C9">
        <w:rPr>
          <w:b/>
        </w:rPr>
        <w:t>Výše rezervy činí</w:t>
      </w:r>
    </w:p>
    <w:p w:rsidR="00DC70C9" w:rsidRPr="00DC70C9" w:rsidRDefault="00DC70C9" w:rsidP="00DC70C9">
      <w:pPr>
        <w:pStyle w:val="Odstavecseseznamem"/>
        <w:tabs>
          <w:tab w:val="left" w:pos="567"/>
        </w:tabs>
        <w:spacing w:after="0" w:line="240" w:lineRule="auto"/>
        <w:ind w:left="0"/>
        <w:jc w:val="both"/>
        <w:rPr>
          <w:rFonts w:cs="Arial"/>
          <w:lang w:eastAsia="cs-CZ"/>
        </w:rPr>
      </w:pPr>
      <w:r w:rsidRPr="00DC70C9">
        <w:rPr>
          <w:rFonts w:cs="Arial"/>
          <w:lang w:eastAsia="cs-CZ"/>
        </w:rPr>
        <w:t>a)</w:t>
      </w:r>
      <w:r w:rsidRPr="00DC70C9">
        <w:rPr>
          <w:rFonts w:cs="Arial"/>
          <w:lang w:eastAsia="cs-CZ"/>
        </w:rPr>
        <w:tab/>
      </w:r>
      <w:r w:rsidRPr="00DC70C9">
        <w:rPr>
          <w:rFonts w:cs="Arial"/>
          <w:strike/>
          <w:lang w:eastAsia="cs-CZ"/>
        </w:rPr>
        <w:t>130</w:t>
      </w:r>
      <w:r w:rsidRPr="00DC70C9">
        <w:rPr>
          <w:rFonts w:cs="Arial"/>
          <w:b/>
          <w:lang w:eastAsia="cs-CZ"/>
        </w:rPr>
        <w:t>145</w:t>
      </w:r>
      <w:r w:rsidRPr="00DC70C9">
        <w:rPr>
          <w:rFonts w:cs="Arial"/>
          <w:lang w:eastAsia="cs-CZ"/>
        </w:rPr>
        <w:t xml:space="preserve"> Kč za 1 tunu uloženého nebezpečného odpadu, včetně nebezpečného odpadu uloženého jako technologický materiál na technické zabezpečení skládky, a komunálního odpadu s výjimkou odpadu z azbestu,</w:t>
      </w:r>
    </w:p>
    <w:p w:rsidR="00DC70C9" w:rsidRPr="00DC70C9" w:rsidRDefault="00DC70C9" w:rsidP="00DC70C9">
      <w:pPr>
        <w:pStyle w:val="Odstavecseseznamem"/>
        <w:tabs>
          <w:tab w:val="left" w:pos="567"/>
        </w:tabs>
        <w:spacing w:after="0" w:line="240" w:lineRule="auto"/>
        <w:ind w:left="0"/>
        <w:jc w:val="both"/>
        <w:rPr>
          <w:rFonts w:cs="Arial"/>
          <w:b/>
          <w:lang w:eastAsia="cs-CZ"/>
        </w:rPr>
      </w:pPr>
      <w:r w:rsidRPr="00DC70C9">
        <w:rPr>
          <w:rFonts w:cs="Arial"/>
          <w:lang w:eastAsia="cs-CZ"/>
        </w:rPr>
        <w:t>b)</w:t>
      </w:r>
      <w:r w:rsidRPr="00DC70C9">
        <w:rPr>
          <w:rFonts w:cs="Arial"/>
          <w:lang w:eastAsia="cs-CZ"/>
        </w:rPr>
        <w:tab/>
      </w:r>
      <w:r w:rsidRPr="00DC70C9">
        <w:rPr>
          <w:rFonts w:cs="Arial"/>
          <w:strike/>
          <w:lang w:eastAsia="cs-CZ"/>
        </w:rPr>
        <w:t>55</w:t>
      </w:r>
      <w:r w:rsidRPr="00DC70C9">
        <w:rPr>
          <w:rFonts w:cs="Arial"/>
          <w:b/>
          <w:lang w:eastAsia="cs-CZ"/>
        </w:rPr>
        <w:t>75</w:t>
      </w:r>
      <w:r w:rsidRPr="00DC70C9">
        <w:rPr>
          <w:rFonts w:cs="Arial"/>
          <w:lang w:eastAsia="cs-CZ"/>
        </w:rPr>
        <w:t xml:space="preserve"> Kč za 1 tunu uloženého ostatního odpadu a odpadu z azbestu, včetně ostatního odpadu uloženého jako technologický materiál na technické zabezpečení skládky. </w:t>
      </w:r>
      <w:r w:rsidRPr="00DC70C9">
        <w:rPr>
          <w:rFonts w:cs="Arial"/>
          <w:b/>
          <w:lang w:eastAsia="cs-CZ"/>
        </w:rPr>
        <w:t>Platí pro skládky s roční kapacitou do 30 tis.t/rok</w:t>
      </w:r>
      <w:r>
        <w:rPr>
          <w:rFonts w:cs="Arial"/>
          <w:b/>
          <w:lang w:eastAsia="cs-CZ"/>
        </w:rPr>
        <w:t>.</w:t>
      </w:r>
    </w:p>
    <w:p w:rsidR="00DC70C9" w:rsidRPr="00DC70C9" w:rsidRDefault="00DC70C9" w:rsidP="00DC70C9">
      <w:pPr>
        <w:pStyle w:val="Odstavecseseznamem"/>
        <w:tabs>
          <w:tab w:val="left" w:pos="567"/>
        </w:tabs>
        <w:spacing w:after="0" w:line="240" w:lineRule="auto"/>
        <w:ind w:left="0"/>
        <w:jc w:val="both"/>
        <w:rPr>
          <w:rFonts w:cs="Arial"/>
          <w:b/>
          <w:lang w:eastAsia="cs-CZ"/>
        </w:rPr>
      </w:pPr>
      <w:r w:rsidRPr="00DC70C9">
        <w:rPr>
          <w:rFonts w:cs="Arial"/>
          <w:b/>
          <w:lang w:eastAsia="cs-CZ"/>
        </w:rPr>
        <w:t>c)</w:t>
      </w:r>
      <w:r w:rsidRPr="00DC70C9">
        <w:rPr>
          <w:rFonts w:cs="Arial"/>
          <w:b/>
          <w:lang w:eastAsia="cs-CZ"/>
        </w:rPr>
        <w:tab/>
        <w:t>60 Kč za 1 tunu uloženého ostatního odpadu a odpadu z azbestu, včetně ostatního odpadu uloženého jako technologický materiál na technické zabezpečení skládky. Platí pro skládky s roční kapacitou nad 30 tis.t/rok</w:t>
      </w:r>
      <w:r>
        <w:rPr>
          <w:rFonts w:cs="Arial"/>
          <w:b/>
          <w:lang w:eastAsia="cs-CZ"/>
        </w:rPr>
        <w:t>.</w:t>
      </w:r>
    </w:p>
    <w:p w:rsidR="00DC70C9" w:rsidRPr="00DC70C9" w:rsidRDefault="00DC70C9" w:rsidP="00DC70C9">
      <w:pPr>
        <w:pStyle w:val="Odstavecseseznamem"/>
        <w:tabs>
          <w:tab w:val="left" w:pos="567"/>
        </w:tabs>
        <w:spacing w:after="0" w:line="240" w:lineRule="auto"/>
        <w:ind w:left="0"/>
        <w:jc w:val="both"/>
      </w:pPr>
    </w:p>
    <w:p w:rsidR="00DC70C9" w:rsidRPr="00DC70C9" w:rsidRDefault="00DC70C9" w:rsidP="00DC70C9">
      <w:pPr>
        <w:pStyle w:val="Odstavecseseznamem"/>
        <w:tabs>
          <w:tab w:val="left" w:pos="567"/>
        </w:tabs>
        <w:spacing w:after="0" w:line="240" w:lineRule="auto"/>
        <w:ind w:left="0"/>
        <w:jc w:val="both"/>
        <w:rPr>
          <w:b/>
        </w:rPr>
      </w:pPr>
      <w:r w:rsidRPr="00DC70C9">
        <w:rPr>
          <w:b/>
        </w:rPr>
        <w:t>Odůvodnění:</w:t>
      </w:r>
    </w:p>
    <w:p w:rsidR="00DC70C9" w:rsidRPr="00DC70C9" w:rsidRDefault="00DC70C9" w:rsidP="00DC70C9">
      <w:pPr>
        <w:pStyle w:val="Odstavecseseznamem"/>
        <w:tabs>
          <w:tab w:val="left" w:pos="567"/>
        </w:tabs>
        <w:spacing w:after="0" w:line="240" w:lineRule="auto"/>
        <w:ind w:left="0"/>
        <w:jc w:val="both"/>
      </w:pPr>
      <w:r w:rsidRPr="00DC70C9">
        <w:rPr>
          <w:rFonts w:eastAsia="Calibri" w:cs="Arial"/>
          <w:bCs/>
          <w:lang w:eastAsia="cs-CZ"/>
        </w:rPr>
        <w:t xml:space="preserve">S ohledem na inflační vývoj od okamžiku, kdy byla výše rezervy </w:t>
      </w:r>
      <w:r>
        <w:rPr>
          <w:rFonts w:eastAsia="Calibri" w:cs="Arial"/>
          <w:bCs/>
          <w:lang w:eastAsia="cs-CZ"/>
        </w:rPr>
        <w:t>stanovena v dosavadním zákoně o </w:t>
      </w:r>
      <w:r w:rsidRPr="00DC70C9">
        <w:rPr>
          <w:rFonts w:eastAsia="Calibri" w:cs="Arial"/>
          <w:bCs/>
          <w:lang w:eastAsia="cs-CZ"/>
        </w:rPr>
        <w:t>odpadech, je odvod na vytváření rezervy v návrhu navýšen, aby odrážel aktuální cenovou hladinu včetně významného navýšení stavebních prací. Nedostatečná tvorba rezervy na rekultivaci a následnou péči o skládku se reálně projevuje zejména u menších zařízení s roční kapacitou pod 30 tis. t/rok, kde hrozí, že nedojde k úplné rekultivaci území a zůstane nová ekologická zátěž pro životní prostředí. V případě rekultivací skládek nebezpečných odpadů, tak nebyla dostatečně zohledněna normovaná odlišnost způsobu provedení rekultivace a její vyšší finanční náročnost. Navýšení pomůže zabezpečit, že veške</w:t>
      </w:r>
      <w:r>
        <w:rPr>
          <w:rFonts w:eastAsia="Calibri" w:cs="Arial"/>
          <w:bCs/>
          <w:lang w:eastAsia="cs-CZ"/>
        </w:rPr>
        <w:t>ré uzavřené skládky ostatních a </w:t>
      </w:r>
      <w:r w:rsidRPr="00DC70C9">
        <w:rPr>
          <w:rFonts w:eastAsia="Calibri" w:cs="Arial"/>
          <w:bCs/>
          <w:lang w:eastAsia="cs-CZ"/>
        </w:rPr>
        <w:t xml:space="preserve">nebezpečných odpadů budou efektivně zrekultivovány a v období následné péče zůstane dostatečný objem prostředků na eliminaci environmentálních rizik a následné začlenění do běžné krajiny po </w:t>
      </w:r>
      <w:proofErr w:type="gramStart"/>
      <w:r w:rsidRPr="00DC70C9">
        <w:rPr>
          <w:rFonts w:eastAsia="Calibri" w:cs="Arial"/>
          <w:bCs/>
          <w:lang w:eastAsia="cs-CZ"/>
        </w:rPr>
        <w:t>30</w:t>
      </w:r>
      <w:proofErr w:type="gramEnd"/>
      <w:r w:rsidRPr="00DC70C9">
        <w:rPr>
          <w:rFonts w:eastAsia="Calibri" w:cs="Arial"/>
          <w:bCs/>
          <w:lang w:eastAsia="cs-CZ"/>
        </w:rPr>
        <w:t>-</w:t>
      </w:r>
      <w:proofErr w:type="gramStart"/>
      <w:r w:rsidRPr="00DC70C9">
        <w:rPr>
          <w:rFonts w:eastAsia="Calibri" w:cs="Arial"/>
          <w:bCs/>
          <w:lang w:eastAsia="cs-CZ"/>
        </w:rPr>
        <w:t>ti</w:t>
      </w:r>
      <w:proofErr w:type="gramEnd"/>
      <w:r w:rsidRPr="00DC70C9">
        <w:rPr>
          <w:rFonts w:eastAsia="Calibri" w:cs="Arial"/>
          <w:bCs/>
          <w:lang w:eastAsia="cs-CZ"/>
        </w:rPr>
        <w:t xml:space="preserve"> </w:t>
      </w:r>
      <w:proofErr w:type="spellStart"/>
      <w:r w:rsidRPr="00DC70C9">
        <w:rPr>
          <w:rFonts w:eastAsia="Calibri" w:cs="Arial"/>
          <w:bCs/>
          <w:lang w:eastAsia="cs-CZ"/>
        </w:rPr>
        <w:t>leté</w:t>
      </w:r>
      <w:proofErr w:type="spellEnd"/>
      <w:r w:rsidRPr="00DC70C9">
        <w:rPr>
          <w:rFonts w:eastAsia="Calibri" w:cs="Arial"/>
          <w:bCs/>
          <w:lang w:eastAsia="cs-CZ"/>
        </w:rPr>
        <w:t xml:space="preserve"> následné péči.</w:t>
      </w:r>
    </w:p>
    <w:p w:rsidR="00DC70C9" w:rsidRPr="00DC70C9" w:rsidRDefault="00DC70C9" w:rsidP="00DC70C9">
      <w:pPr>
        <w:pStyle w:val="Odstavecseseznamem"/>
        <w:tabs>
          <w:tab w:val="left" w:pos="567"/>
        </w:tabs>
        <w:spacing w:after="0" w:line="240" w:lineRule="auto"/>
        <w:ind w:left="0"/>
        <w:jc w:val="both"/>
      </w:pPr>
    </w:p>
    <w:p w:rsidR="00DC70C9" w:rsidRPr="00DC70C9" w:rsidRDefault="00DC70C9" w:rsidP="00DC70C9">
      <w:pPr>
        <w:pStyle w:val="Odstavecseseznamem"/>
        <w:tabs>
          <w:tab w:val="left" w:pos="567"/>
        </w:tabs>
        <w:spacing w:after="0" w:line="240" w:lineRule="auto"/>
        <w:ind w:left="0"/>
        <w:contextualSpacing w:val="0"/>
        <w:jc w:val="both"/>
        <w:rPr>
          <w:b/>
        </w:rPr>
      </w:pPr>
    </w:p>
    <w:p w:rsidR="00DC70C9" w:rsidRPr="00DC70C9" w:rsidRDefault="00DC70C9" w:rsidP="00DC70C9">
      <w:pPr>
        <w:tabs>
          <w:tab w:val="left" w:pos="567"/>
        </w:tabs>
        <w:rPr>
          <w:b/>
        </w:rPr>
      </w:pPr>
      <w:r w:rsidRPr="003C245E">
        <w:rPr>
          <w:b/>
          <w:highlight w:val="red"/>
        </w:rPr>
        <w:t>8. Připomínka k příloze č. 9</w:t>
      </w:r>
      <w:r w:rsidR="003C245E">
        <w:rPr>
          <w:b/>
        </w:rPr>
        <w:t xml:space="preserve"> </w:t>
      </w:r>
      <w:r w:rsidR="003C245E" w:rsidRPr="003C245E">
        <w:rPr>
          <w:i/>
        </w:rPr>
        <w:t>(připomínka 102?)</w:t>
      </w:r>
    </w:p>
    <w:p w:rsidR="00DC70C9" w:rsidRPr="00DC70C9" w:rsidRDefault="00DC70C9" w:rsidP="00DC70C9">
      <w:pPr>
        <w:pStyle w:val="Odstavecseseznamem"/>
        <w:tabs>
          <w:tab w:val="left" w:pos="567"/>
        </w:tabs>
        <w:spacing w:after="0" w:line="240" w:lineRule="auto"/>
        <w:ind w:left="0"/>
        <w:jc w:val="both"/>
      </w:pPr>
      <w:r w:rsidRPr="00DC70C9">
        <w:t>V tabulce označené jako „</w:t>
      </w:r>
      <w:r w:rsidRPr="00DC70C9">
        <w:rPr>
          <w:rFonts w:eastAsia="Calibri" w:cs="Arial"/>
        </w:rPr>
        <w:t>1. Sazba pro jednotlivé dílčí základy poplatku za ukládání odpadů na skládku (v Kč/t) u vybraného technologického odpadu nahradit v jednotlivých letech původní jednotnou částku 45 Kč/t stoupajícími hodnotami ve sledovaném období, které jsou zvý</w:t>
      </w:r>
      <w:r>
        <w:rPr>
          <w:rFonts w:eastAsia="Calibri" w:cs="Arial"/>
        </w:rPr>
        <w:t>razněny v níže uvedené tabulce.</w:t>
      </w:r>
    </w:p>
    <w:p w:rsidR="00DC70C9" w:rsidRPr="00DC70C9" w:rsidRDefault="00DC70C9" w:rsidP="00DC70C9">
      <w:pPr>
        <w:pStyle w:val="Odstavecseseznamem"/>
        <w:tabs>
          <w:tab w:val="left" w:pos="567"/>
        </w:tabs>
        <w:spacing w:after="0" w:line="240" w:lineRule="auto"/>
        <w:ind w:left="0"/>
        <w:jc w:val="both"/>
        <w:rPr>
          <w:rFonts w:eastAsiaTheme="minorEastAsia" w:cs="Arial"/>
          <w:strike/>
          <w:lang w:eastAsia="cs-CZ"/>
        </w:rPr>
      </w:pPr>
    </w:p>
    <w:tbl>
      <w:tblPr>
        <w:tblStyle w:val="Mkatabulky"/>
        <w:tblW w:w="9097" w:type="dxa"/>
        <w:tblLayout w:type="fixed"/>
        <w:tblLook w:val="04A0"/>
      </w:tblPr>
      <w:tblGrid>
        <w:gridCol w:w="2616"/>
        <w:gridCol w:w="592"/>
        <w:gridCol w:w="592"/>
        <w:gridCol w:w="592"/>
        <w:gridCol w:w="592"/>
        <w:gridCol w:w="592"/>
        <w:gridCol w:w="592"/>
        <w:gridCol w:w="592"/>
        <w:gridCol w:w="592"/>
        <w:gridCol w:w="698"/>
        <w:gridCol w:w="1047"/>
      </w:tblGrid>
      <w:tr w:rsidR="00DC70C9" w:rsidRPr="00DC70C9" w:rsidTr="003E32AB">
        <w:trPr>
          <w:trHeight w:val="300"/>
        </w:trPr>
        <w:tc>
          <w:tcPr>
            <w:tcW w:w="2616" w:type="dxa"/>
            <w:noWrap/>
            <w:hideMark/>
          </w:tcPr>
          <w:p w:rsidR="00DC70C9" w:rsidRPr="00DC70C9" w:rsidRDefault="00DC70C9" w:rsidP="00DC70C9">
            <w:pPr>
              <w:rPr>
                <w:sz w:val="16"/>
                <w:szCs w:val="16"/>
              </w:rPr>
            </w:pPr>
          </w:p>
        </w:tc>
        <w:tc>
          <w:tcPr>
            <w:tcW w:w="6481" w:type="dxa"/>
            <w:gridSpan w:val="10"/>
            <w:noWrap/>
            <w:hideMark/>
          </w:tcPr>
          <w:p w:rsidR="00DC70C9" w:rsidRPr="00DC70C9" w:rsidRDefault="00DC70C9" w:rsidP="00DC70C9">
            <w:pPr>
              <w:jc w:val="center"/>
              <w:rPr>
                <w:sz w:val="16"/>
                <w:szCs w:val="16"/>
              </w:rPr>
            </w:pPr>
            <w:r w:rsidRPr="00DC70C9">
              <w:rPr>
                <w:sz w:val="16"/>
                <w:szCs w:val="16"/>
              </w:rPr>
              <w:t>Poplatkové období v roce</w:t>
            </w:r>
          </w:p>
        </w:tc>
      </w:tr>
      <w:tr w:rsidR="00DC70C9" w:rsidRPr="00DC70C9" w:rsidTr="003E32AB">
        <w:trPr>
          <w:trHeight w:val="300"/>
        </w:trPr>
        <w:tc>
          <w:tcPr>
            <w:tcW w:w="2616" w:type="dxa"/>
            <w:noWrap/>
            <w:hideMark/>
          </w:tcPr>
          <w:p w:rsidR="00DC70C9" w:rsidRPr="00DC70C9" w:rsidRDefault="00DC70C9" w:rsidP="00DC70C9">
            <w:pPr>
              <w:rPr>
                <w:sz w:val="16"/>
                <w:szCs w:val="16"/>
              </w:rPr>
            </w:pPr>
            <w:r w:rsidRPr="00DC70C9">
              <w:rPr>
                <w:sz w:val="16"/>
                <w:szCs w:val="16"/>
              </w:rPr>
              <w:t>Dílčí základ poplatku za ukládání</w:t>
            </w:r>
          </w:p>
        </w:tc>
        <w:tc>
          <w:tcPr>
            <w:tcW w:w="592" w:type="dxa"/>
            <w:noWrap/>
          </w:tcPr>
          <w:p w:rsidR="00DC70C9" w:rsidRPr="00DC70C9" w:rsidRDefault="00DC70C9" w:rsidP="00DC70C9">
            <w:pPr>
              <w:rPr>
                <w:sz w:val="16"/>
                <w:szCs w:val="16"/>
              </w:rPr>
            </w:pPr>
            <w:r w:rsidRPr="00DC70C9">
              <w:rPr>
                <w:sz w:val="16"/>
                <w:szCs w:val="16"/>
              </w:rPr>
              <w:t>2021</w:t>
            </w:r>
          </w:p>
        </w:tc>
        <w:tc>
          <w:tcPr>
            <w:tcW w:w="592" w:type="dxa"/>
            <w:noWrap/>
            <w:hideMark/>
          </w:tcPr>
          <w:p w:rsidR="00DC70C9" w:rsidRPr="00DC70C9" w:rsidRDefault="00DC70C9" w:rsidP="00DC70C9">
            <w:pPr>
              <w:rPr>
                <w:sz w:val="16"/>
                <w:szCs w:val="16"/>
              </w:rPr>
            </w:pPr>
            <w:r w:rsidRPr="00DC70C9">
              <w:rPr>
                <w:sz w:val="16"/>
                <w:szCs w:val="16"/>
              </w:rPr>
              <w:t>2022</w:t>
            </w:r>
          </w:p>
        </w:tc>
        <w:tc>
          <w:tcPr>
            <w:tcW w:w="592" w:type="dxa"/>
            <w:noWrap/>
            <w:hideMark/>
          </w:tcPr>
          <w:p w:rsidR="00DC70C9" w:rsidRPr="00DC70C9" w:rsidRDefault="00DC70C9" w:rsidP="00DC70C9">
            <w:pPr>
              <w:rPr>
                <w:sz w:val="16"/>
                <w:szCs w:val="16"/>
              </w:rPr>
            </w:pPr>
            <w:r w:rsidRPr="00DC70C9">
              <w:rPr>
                <w:sz w:val="16"/>
                <w:szCs w:val="16"/>
              </w:rPr>
              <w:t>2023</w:t>
            </w:r>
          </w:p>
        </w:tc>
        <w:tc>
          <w:tcPr>
            <w:tcW w:w="592" w:type="dxa"/>
            <w:noWrap/>
            <w:hideMark/>
          </w:tcPr>
          <w:p w:rsidR="00DC70C9" w:rsidRPr="00DC70C9" w:rsidRDefault="00DC70C9" w:rsidP="00DC70C9">
            <w:pPr>
              <w:rPr>
                <w:sz w:val="16"/>
                <w:szCs w:val="16"/>
              </w:rPr>
            </w:pPr>
            <w:r w:rsidRPr="00DC70C9">
              <w:rPr>
                <w:sz w:val="16"/>
                <w:szCs w:val="16"/>
              </w:rPr>
              <w:t>2024</w:t>
            </w:r>
          </w:p>
        </w:tc>
        <w:tc>
          <w:tcPr>
            <w:tcW w:w="592" w:type="dxa"/>
            <w:noWrap/>
            <w:hideMark/>
          </w:tcPr>
          <w:p w:rsidR="00DC70C9" w:rsidRPr="00DC70C9" w:rsidRDefault="00DC70C9" w:rsidP="00DC70C9">
            <w:pPr>
              <w:rPr>
                <w:sz w:val="16"/>
                <w:szCs w:val="16"/>
              </w:rPr>
            </w:pPr>
            <w:r w:rsidRPr="00DC70C9">
              <w:rPr>
                <w:sz w:val="16"/>
                <w:szCs w:val="16"/>
              </w:rPr>
              <w:t>2025</w:t>
            </w:r>
          </w:p>
        </w:tc>
        <w:tc>
          <w:tcPr>
            <w:tcW w:w="592" w:type="dxa"/>
            <w:noWrap/>
            <w:hideMark/>
          </w:tcPr>
          <w:p w:rsidR="00DC70C9" w:rsidRPr="00DC70C9" w:rsidRDefault="00DC70C9" w:rsidP="00DC70C9">
            <w:pPr>
              <w:rPr>
                <w:sz w:val="16"/>
                <w:szCs w:val="16"/>
              </w:rPr>
            </w:pPr>
            <w:r w:rsidRPr="00DC70C9">
              <w:rPr>
                <w:sz w:val="16"/>
                <w:szCs w:val="16"/>
              </w:rPr>
              <w:t>2026</w:t>
            </w:r>
          </w:p>
        </w:tc>
        <w:tc>
          <w:tcPr>
            <w:tcW w:w="592" w:type="dxa"/>
            <w:noWrap/>
            <w:hideMark/>
          </w:tcPr>
          <w:p w:rsidR="00DC70C9" w:rsidRPr="00DC70C9" w:rsidRDefault="00DC70C9" w:rsidP="00DC70C9">
            <w:pPr>
              <w:rPr>
                <w:sz w:val="16"/>
                <w:szCs w:val="16"/>
              </w:rPr>
            </w:pPr>
            <w:r w:rsidRPr="00DC70C9">
              <w:rPr>
                <w:sz w:val="16"/>
                <w:szCs w:val="16"/>
              </w:rPr>
              <w:t>2027</w:t>
            </w:r>
          </w:p>
        </w:tc>
        <w:tc>
          <w:tcPr>
            <w:tcW w:w="592" w:type="dxa"/>
            <w:noWrap/>
            <w:hideMark/>
          </w:tcPr>
          <w:p w:rsidR="00DC70C9" w:rsidRPr="00DC70C9" w:rsidRDefault="00DC70C9" w:rsidP="00DC70C9">
            <w:pPr>
              <w:rPr>
                <w:sz w:val="16"/>
                <w:szCs w:val="16"/>
              </w:rPr>
            </w:pPr>
            <w:r w:rsidRPr="00DC70C9">
              <w:rPr>
                <w:sz w:val="16"/>
                <w:szCs w:val="16"/>
              </w:rPr>
              <w:t>2028</w:t>
            </w:r>
          </w:p>
        </w:tc>
        <w:tc>
          <w:tcPr>
            <w:tcW w:w="698" w:type="dxa"/>
            <w:noWrap/>
            <w:hideMark/>
          </w:tcPr>
          <w:p w:rsidR="00DC70C9" w:rsidRPr="00DC70C9" w:rsidRDefault="00DC70C9" w:rsidP="00DC70C9">
            <w:pPr>
              <w:rPr>
                <w:sz w:val="16"/>
                <w:szCs w:val="16"/>
              </w:rPr>
            </w:pPr>
            <w:r w:rsidRPr="00DC70C9">
              <w:rPr>
                <w:sz w:val="16"/>
                <w:szCs w:val="16"/>
              </w:rPr>
              <w:t>2029</w:t>
            </w:r>
          </w:p>
        </w:tc>
        <w:tc>
          <w:tcPr>
            <w:tcW w:w="1047" w:type="dxa"/>
            <w:noWrap/>
            <w:hideMark/>
          </w:tcPr>
          <w:p w:rsidR="00DC70C9" w:rsidRPr="00DC70C9" w:rsidRDefault="00DC70C9" w:rsidP="00DC70C9">
            <w:pPr>
              <w:rPr>
                <w:sz w:val="16"/>
                <w:szCs w:val="16"/>
              </w:rPr>
            </w:pPr>
            <w:r w:rsidRPr="00DC70C9">
              <w:rPr>
                <w:sz w:val="16"/>
                <w:szCs w:val="16"/>
              </w:rPr>
              <w:t>2030 a</w:t>
            </w:r>
            <w:r>
              <w:rPr>
                <w:sz w:val="16"/>
                <w:szCs w:val="16"/>
              </w:rPr>
              <w:t> </w:t>
            </w:r>
            <w:r w:rsidRPr="00DC70C9">
              <w:rPr>
                <w:sz w:val="16"/>
                <w:szCs w:val="16"/>
              </w:rPr>
              <w:t>dále</w:t>
            </w:r>
          </w:p>
        </w:tc>
      </w:tr>
      <w:tr w:rsidR="00DC70C9" w:rsidRPr="00DC70C9" w:rsidTr="003E32AB">
        <w:trPr>
          <w:trHeight w:val="300"/>
        </w:trPr>
        <w:tc>
          <w:tcPr>
            <w:tcW w:w="2616" w:type="dxa"/>
            <w:noWrap/>
            <w:hideMark/>
          </w:tcPr>
          <w:p w:rsidR="00DC70C9" w:rsidRPr="00DC70C9" w:rsidRDefault="00DC70C9" w:rsidP="00DC70C9">
            <w:pPr>
              <w:rPr>
                <w:sz w:val="16"/>
                <w:szCs w:val="16"/>
              </w:rPr>
            </w:pPr>
            <w:r w:rsidRPr="00DC70C9">
              <w:rPr>
                <w:sz w:val="16"/>
                <w:szCs w:val="16"/>
              </w:rPr>
              <w:t>vybraného technologického odpadu</w:t>
            </w:r>
          </w:p>
        </w:tc>
        <w:tc>
          <w:tcPr>
            <w:tcW w:w="592" w:type="dxa"/>
            <w:noWrap/>
          </w:tcPr>
          <w:p w:rsidR="00DC70C9" w:rsidRPr="00DC70C9" w:rsidDel="00FB27C8" w:rsidRDefault="00DC70C9" w:rsidP="00DC70C9">
            <w:pPr>
              <w:rPr>
                <w:b/>
                <w:sz w:val="16"/>
                <w:szCs w:val="16"/>
              </w:rPr>
            </w:pPr>
            <w:r w:rsidRPr="00DC70C9">
              <w:rPr>
                <w:strike/>
                <w:sz w:val="16"/>
                <w:szCs w:val="16"/>
              </w:rPr>
              <w:t>45</w:t>
            </w:r>
            <w:r w:rsidRPr="00DC70C9">
              <w:rPr>
                <w:b/>
                <w:sz w:val="16"/>
                <w:szCs w:val="16"/>
              </w:rPr>
              <w:t>50</w:t>
            </w:r>
          </w:p>
        </w:tc>
        <w:tc>
          <w:tcPr>
            <w:tcW w:w="592" w:type="dxa"/>
            <w:noWrap/>
            <w:hideMark/>
          </w:tcPr>
          <w:p w:rsidR="00DC70C9" w:rsidRPr="00DC70C9" w:rsidDel="00FB27C8" w:rsidRDefault="00DC70C9" w:rsidP="00DC70C9">
            <w:pPr>
              <w:rPr>
                <w:b/>
                <w:sz w:val="16"/>
                <w:szCs w:val="16"/>
              </w:rPr>
            </w:pPr>
            <w:r w:rsidRPr="00DC70C9">
              <w:rPr>
                <w:strike/>
                <w:sz w:val="16"/>
                <w:szCs w:val="16"/>
              </w:rPr>
              <w:t>45</w:t>
            </w:r>
            <w:r w:rsidRPr="00DC70C9">
              <w:rPr>
                <w:b/>
                <w:sz w:val="16"/>
                <w:szCs w:val="16"/>
              </w:rPr>
              <w:t>50</w:t>
            </w:r>
          </w:p>
        </w:tc>
        <w:tc>
          <w:tcPr>
            <w:tcW w:w="592" w:type="dxa"/>
            <w:noWrap/>
            <w:hideMark/>
          </w:tcPr>
          <w:p w:rsidR="00DC70C9" w:rsidRPr="00DC70C9" w:rsidDel="00FB27C8" w:rsidRDefault="00DC70C9" w:rsidP="00DC70C9">
            <w:pPr>
              <w:rPr>
                <w:b/>
                <w:sz w:val="16"/>
                <w:szCs w:val="16"/>
              </w:rPr>
            </w:pPr>
            <w:r w:rsidRPr="00DC70C9">
              <w:rPr>
                <w:strike/>
                <w:sz w:val="16"/>
                <w:szCs w:val="16"/>
              </w:rPr>
              <w:t>45</w:t>
            </w:r>
            <w:r w:rsidRPr="00DC70C9">
              <w:rPr>
                <w:b/>
                <w:sz w:val="16"/>
                <w:szCs w:val="16"/>
              </w:rPr>
              <w:t>60</w:t>
            </w:r>
          </w:p>
        </w:tc>
        <w:tc>
          <w:tcPr>
            <w:tcW w:w="592" w:type="dxa"/>
            <w:noWrap/>
            <w:hideMark/>
          </w:tcPr>
          <w:p w:rsidR="00DC70C9" w:rsidRPr="00DC70C9" w:rsidDel="00FB27C8" w:rsidRDefault="00DC70C9" w:rsidP="00DC70C9">
            <w:pPr>
              <w:rPr>
                <w:b/>
                <w:sz w:val="16"/>
                <w:szCs w:val="16"/>
              </w:rPr>
            </w:pPr>
            <w:r w:rsidRPr="00DC70C9">
              <w:rPr>
                <w:strike/>
                <w:sz w:val="16"/>
                <w:szCs w:val="16"/>
              </w:rPr>
              <w:t>45</w:t>
            </w:r>
            <w:r w:rsidRPr="00DC70C9">
              <w:rPr>
                <w:b/>
                <w:sz w:val="16"/>
                <w:szCs w:val="16"/>
              </w:rPr>
              <w:t>60</w:t>
            </w:r>
          </w:p>
        </w:tc>
        <w:tc>
          <w:tcPr>
            <w:tcW w:w="592" w:type="dxa"/>
            <w:noWrap/>
            <w:hideMark/>
          </w:tcPr>
          <w:p w:rsidR="00DC70C9" w:rsidRPr="00DC70C9" w:rsidDel="00FB27C8" w:rsidRDefault="00DC70C9" w:rsidP="00DC70C9">
            <w:pPr>
              <w:rPr>
                <w:b/>
                <w:sz w:val="16"/>
                <w:szCs w:val="16"/>
              </w:rPr>
            </w:pPr>
            <w:r w:rsidRPr="00DC70C9">
              <w:rPr>
                <w:strike/>
                <w:sz w:val="16"/>
                <w:szCs w:val="16"/>
              </w:rPr>
              <w:t>45</w:t>
            </w:r>
            <w:r w:rsidRPr="00DC70C9">
              <w:rPr>
                <w:b/>
                <w:sz w:val="16"/>
                <w:szCs w:val="16"/>
              </w:rPr>
              <w:t>70</w:t>
            </w:r>
          </w:p>
        </w:tc>
        <w:tc>
          <w:tcPr>
            <w:tcW w:w="592" w:type="dxa"/>
            <w:noWrap/>
            <w:hideMark/>
          </w:tcPr>
          <w:p w:rsidR="00DC70C9" w:rsidRPr="00DC70C9" w:rsidDel="00FB27C8" w:rsidRDefault="00DC70C9" w:rsidP="00DC70C9">
            <w:pPr>
              <w:rPr>
                <w:b/>
                <w:sz w:val="16"/>
                <w:szCs w:val="16"/>
              </w:rPr>
            </w:pPr>
            <w:r w:rsidRPr="00DC70C9">
              <w:rPr>
                <w:strike/>
                <w:sz w:val="16"/>
                <w:szCs w:val="16"/>
              </w:rPr>
              <w:t>45</w:t>
            </w:r>
            <w:r w:rsidRPr="00DC70C9">
              <w:rPr>
                <w:b/>
                <w:sz w:val="16"/>
                <w:szCs w:val="16"/>
              </w:rPr>
              <w:t>70</w:t>
            </w:r>
          </w:p>
        </w:tc>
        <w:tc>
          <w:tcPr>
            <w:tcW w:w="592" w:type="dxa"/>
            <w:noWrap/>
            <w:hideMark/>
          </w:tcPr>
          <w:p w:rsidR="00DC70C9" w:rsidRPr="00DC70C9" w:rsidDel="00FB27C8" w:rsidRDefault="00DC70C9" w:rsidP="00DC70C9">
            <w:pPr>
              <w:rPr>
                <w:b/>
                <w:sz w:val="16"/>
                <w:szCs w:val="16"/>
              </w:rPr>
            </w:pPr>
            <w:r w:rsidRPr="00DC70C9">
              <w:rPr>
                <w:strike/>
                <w:sz w:val="16"/>
                <w:szCs w:val="16"/>
              </w:rPr>
              <w:t>45</w:t>
            </w:r>
            <w:r w:rsidRPr="00DC70C9">
              <w:rPr>
                <w:b/>
                <w:sz w:val="16"/>
                <w:szCs w:val="16"/>
              </w:rPr>
              <w:t>80</w:t>
            </w:r>
          </w:p>
        </w:tc>
        <w:tc>
          <w:tcPr>
            <w:tcW w:w="592" w:type="dxa"/>
            <w:noWrap/>
            <w:hideMark/>
          </w:tcPr>
          <w:p w:rsidR="00DC70C9" w:rsidRPr="00DC70C9" w:rsidDel="00FB27C8" w:rsidRDefault="00DC70C9" w:rsidP="00DC70C9">
            <w:pPr>
              <w:rPr>
                <w:b/>
                <w:sz w:val="16"/>
                <w:szCs w:val="16"/>
              </w:rPr>
            </w:pPr>
            <w:r w:rsidRPr="00DC70C9">
              <w:rPr>
                <w:strike/>
                <w:sz w:val="16"/>
                <w:szCs w:val="16"/>
              </w:rPr>
              <w:t>45</w:t>
            </w:r>
            <w:r w:rsidRPr="00DC70C9">
              <w:rPr>
                <w:b/>
                <w:sz w:val="16"/>
                <w:szCs w:val="16"/>
              </w:rPr>
              <w:t>80</w:t>
            </w:r>
          </w:p>
        </w:tc>
        <w:tc>
          <w:tcPr>
            <w:tcW w:w="698" w:type="dxa"/>
            <w:noWrap/>
            <w:hideMark/>
          </w:tcPr>
          <w:p w:rsidR="00DC70C9" w:rsidRPr="00DC70C9" w:rsidDel="00FB27C8" w:rsidRDefault="00DC70C9" w:rsidP="00DC70C9">
            <w:pPr>
              <w:rPr>
                <w:b/>
                <w:sz w:val="16"/>
                <w:szCs w:val="16"/>
              </w:rPr>
            </w:pPr>
            <w:r w:rsidRPr="00DC70C9">
              <w:rPr>
                <w:strike/>
                <w:sz w:val="16"/>
                <w:szCs w:val="16"/>
              </w:rPr>
              <w:t>45</w:t>
            </w:r>
            <w:r w:rsidRPr="00DC70C9">
              <w:rPr>
                <w:b/>
                <w:sz w:val="16"/>
                <w:szCs w:val="16"/>
              </w:rPr>
              <w:t>100</w:t>
            </w:r>
          </w:p>
        </w:tc>
        <w:tc>
          <w:tcPr>
            <w:tcW w:w="1047" w:type="dxa"/>
            <w:noWrap/>
            <w:hideMark/>
          </w:tcPr>
          <w:p w:rsidR="00DC70C9" w:rsidRPr="00DC70C9" w:rsidDel="00FB27C8" w:rsidRDefault="00DC70C9" w:rsidP="00DC70C9">
            <w:pPr>
              <w:rPr>
                <w:b/>
                <w:sz w:val="16"/>
                <w:szCs w:val="16"/>
              </w:rPr>
            </w:pPr>
            <w:r w:rsidRPr="00DC70C9">
              <w:rPr>
                <w:strike/>
                <w:sz w:val="16"/>
                <w:szCs w:val="16"/>
              </w:rPr>
              <w:t>45</w:t>
            </w:r>
            <w:r w:rsidRPr="00DC70C9">
              <w:rPr>
                <w:b/>
                <w:sz w:val="16"/>
                <w:szCs w:val="16"/>
              </w:rPr>
              <w:t>100</w:t>
            </w:r>
          </w:p>
        </w:tc>
      </w:tr>
    </w:tbl>
    <w:p w:rsidR="00DC70C9" w:rsidRPr="00DC70C9" w:rsidRDefault="00DC70C9" w:rsidP="00DC70C9">
      <w:pPr>
        <w:pStyle w:val="Odstavecseseznamem"/>
        <w:tabs>
          <w:tab w:val="left" w:pos="567"/>
        </w:tabs>
        <w:spacing w:after="0" w:line="240" w:lineRule="auto"/>
        <w:ind w:left="0"/>
        <w:jc w:val="both"/>
        <w:rPr>
          <w:b/>
        </w:rPr>
      </w:pPr>
    </w:p>
    <w:p w:rsidR="00DC70C9" w:rsidRPr="00DC70C9" w:rsidRDefault="00DC70C9" w:rsidP="00DC70C9">
      <w:pPr>
        <w:pStyle w:val="Odstavecseseznamem"/>
        <w:tabs>
          <w:tab w:val="left" w:pos="567"/>
        </w:tabs>
        <w:spacing w:after="0" w:line="240" w:lineRule="auto"/>
        <w:ind w:left="0"/>
        <w:jc w:val="both"/>
        <w:rPr>
          <w:b/>
        </w:rPr>
      </w:pPr>
      <w:r>
        <w:rPr>
          <w:b/>
        </w:rPr>
        <w:t>Odůvodnění:</w:t>
      </w:r>
    </w:p>
    <w:p w:rsidR="00DC70C9" w:rsidRPr="00DC70C9" w:rsidRDefault="00DC70C9" w:rsidP="00DC70C9">
      <w:pPr>
        <w:pStyle w:val="Odstavecseseznamem"/>
        <w:tabs>
          <w:tab w:val="left" w:pos="567"/>
        </w:tabs>
        <w:spacing w:after="0" w:line="240" w:lineRule="auto"/>
        <w:ind w:left="0"/>
        <w:jc w:val="both"/>
        <w:rPr>
          <w:b/>
        </w:rPr>
      </w:pPr>
      <w:r w:rsidRPr="00DC70C9">
        <w:t>Aktuální nastavení nulového zpoplatnění u vybraného technologického odpadu (dále jen „</w:t>
      </w:r>
      <w:proofErr w:type="spellStart"/>
      <w:r w:rsidRPr="00DC70C9">
        <w:t>TZS</w:t>
      </w:r>
      <w:proofErr w:type="spellEnd"/>
      <w:r w:rsidRPr="00DC70C9">
        <w:t xml:space="preserve">“) je naprosto nevyhovující a často zneužívané. Navrhovaných 45 Kč/t je spíše symbolické. Proto je třeba navýšit do adekvátní roviny, která v žádném případě nebude brzdit možnost získání odpovídajících odpadů pro </w:t>
      </w:r>
      <w:proofErr w:type="spellStart"/>
      <w:r w:rsidRPr="00DC70C9">
        <w:t>TZS</w:t>
      </w:r>
      <w:proofErr w:type="spellEnd"/>
      <w:r w:rsidRPr="00DC70C9">
        <w:t xml:space="preserve"> pro bezpečný provoz skládek a zároveň zapracovat progresivní nárůst v čase, který je v tomto případě na místě.</w:t>
      </w:r>
    </w:p>
    <w:p w:rsidR="00DC70C9" w:rsidRDefault="00DC70C9" w:rsidP="00DC70C9"/>
    <w:p w:rsidR="00DC70C9" w:rsidRDefault="00DC70C9" w:rsidP="00DC70C9"/>
    <w:p w:rsidR="00DC70C9" w:rsidRDefault="00DC70C9" w:rsidP="00DC70C9"/>
    <w:p w:rsidR="00DC70C9" w:rsidRDefault="00DC70C9" w:rsidP="00DC70C9"/>
    <w:p w:rsidR="00DC70C9" w:rsidRDefault="00DC70C9" w:rsidP="00DC70C9"/>
    <w:p w:rsidR="00DC70C9" w:rsidRDefault="00DC70C9" w:rsidP="00DC70C9"/>
    <w:p w:rsidR="00DC70C9" w:rsidRDefault="00DC70C9" w:rsidP="00DC70C9"/>
    <w:p w:rsidR="00DC70C9" w:rsidRDefault="00DC70C9" w:rsidP="00DC70C9"/>
    <w:p w:rsidR="00DC70C9" w:rsidRDefault="00DC70C9" w:rsidP="00DC70C9"/>
    <w:p w:rsidR="00DC70C9" w:rsidRDefault="00DC70C9" w:rsidP="00DC70C9"/>
    <w:p w:rsidR="00DC70C9" w:rsidRDefault="00DC70C9" w:rsidP="00DC70C9">
      <w:r>
        <w:t>Praha 23. 4. 2019</w:t>
      </w:r>
    </w:p>
    <w:sectPr w:rsidR="00DC70C9" w:rsidSect="00880474">
      <w:headerReference w:type="even" r:id="rId8"/>
      <w:headerReference w:type="default" r:id="rId9"/>
      <w:footerReference w:type="even" r:id="rId10"/>
      <w:footerReference w:type="default" r:id="rId11"/>
      <w:headerReference w:type="first" r:id="rId12"/>
      <w:footerReference w:type="first" r:id="rId13"/>
      <w:pgSz w:w="11906" w:h="16838"/>
      <w:pgMar w:top="2380" w:right="1417" w:bottom="1417" w:left="1417"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81C" w:rsidRDefault="0082581C">
      <w:r>
        <w:separator/>
      </w:r>
    </w:p>
  </w:endnote>
  <w:endnote w:type="continuationSeparator" w:id="0">
    <w:p w:rsidR="0082581C" w:rsidRDefault="00825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1C" w:rsidRDefault="0082581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53" w:rsidRPr="009C2AC1" w:rsidRDefault="002F4953" w:rsidP="00880474">
    <w:pPr>
      <w:pStyle w:val="Zpat"/>
      <w:spacing w:before="240" w:line="360" w:lineRule="auto"/>
      <w:jc w:val="center"/>
      <w:rPr>
        <w:color w:val="BFBFBF"/>
        <w:sz w:val="20"/>
        <w:szCs w:val="20"/>
      </w:rPr>
    </w:pPr>
    <w:r w:rsidRPr="009C2AC1">
      <w:rPr>
        <w:color w:val="BFBFBF"/>
        <w:sz w:val="20"/>
        <w:szCs w:val="20"/>
      </w:rPr>
      <w:t>_________________________________________________________________________________</w:t>
    </w:r>
  </w:p>
  <w:p w:rsidR="002F4953" w:rsidRPr="009C2AC1" w:rsidRDefault="002F4953" w:rsidP="00880474">
    <w:pPr>
      <w:pStyle w:val="Zpat"/>
      <w:spacing w:line="276" w:lineRule="auto"/>
      <w:jc w:val="center"/>
      <w:rPr>
        <w:color w:val="808080"/>
        <w:sz w:val="18"/>
        <w:szCs w:val="18"/>
      </w:rPr>
    </w:pPr>
    <w:r>
      <w:rPr>
        <w:sz w:val="14"/>
        <w:szCs w:val="14"/>
      </w:rPr>
      <w:br/>
    </w:r>
    <w:r w:rsidRPr="009C2AC1">
      <w:rPr>
        <w:b/>
        <w:color w:val="808080"/>
        <w:sz w:val="18"/>
        <w:szCs w:val="18"/>
      </w:rPr>
      <w:t>Český plynárenský svaz</w:t>
    </w:r>
    <w:r w:rsidRPr="009C2AC1">
      <w:rPr>
        <w:color w:val="808080"/>
        <w:sz w:val="18"/>
        <w:szCs w:val="18"/>
      </w:rPr>
      <w:t xml:space="preserve">, U Plynárny 223/42, </w:t>
    </w:r>
    <w:proofErr w:type="gramStart"/>
    <w:r w:rsidRPr="009C2AC1">
      <w:rPr>
        <w:color w:val="808080"/>
        <w:sz w:val="18"/>
        <w:szCs w:val="18"/>
      </w:rPr>
      <w:t xml:space="preserve">140 </w:t>
    </w:r>
    <w:r w:rsidR="00C34EA0">
      <w:rPr>
        <w:color w:val="808080"/>
        <w:sz w:val="18"/>
        <w:szCs w:val="18"/>
      </w:rPr>
      <w:t>00</w:t>
    </w:r>
    <w:r w:rsidRPr="009C2AC1">
      <w:rPr>
        <w:color w:val="808080"/>
        <w:sz w:val="18"/>
        <w:szCs w:val="18"/>
      </w:rPr>
      <w:t xml:space="preserve">  Praha</w:t>
    </w:r>
    <w:proofErr w:type="gramEnd"/>
    <w:r w:rsidRPr="009C2AC1">
      <w:rPr>
        <w:color w:val="808080"/>
        <w:sz w:val="18"/>
        <w:szCs w:val="18"/>
      </w:rPr>
      <w:t xml:space="preserve"> 4</w:t>
    </w:r>
    <w:r w:rsidRPr="009C2AC1">
      <w:rPr>
        <w:color w:val="808080"/>
        <w:sz w:val="18"/>
        <w:szCs w:val="18"/>
      </w:rPr>
      <w:br/>
      <w:t>ČSOB, a.</w:t>
    </w:r>
    <w:r w:rsidR="00ED5DAC">
      <w:rPr>
        <w:color w:val="808080"/>
        <w:sz w:val="18"/>
        <w:szCs w:val="18"/>
      </w:rPr>
      <w:t xml:space="preserve"> </w:t>
    </w:r>
    <w:r w:rsidRPr="009C2AC1">
      <w:rPr>
        <w:color w:val="808080"/>
        <w:sz w:val="18"/>
        <w:szCs w:val="18"/>
      </w:rPr>
      <w:t>s. - č.</w:t>
    </w:r>
    <w:r w:rsidR="00ED5DAC">
      <w:rPr>
        <w:color w:val="808080"/>
        <w:sz w:val="18"/>
        <w:szCs w:val="18"/>
      </w:rPr>
      <w:t xml:space="preserve"> </w:t>
    </w:r>
    <w:proofErr w:type="spellStart"/>
    <w:r w:rsidRPr="009C2AC1">
      <w:rPr>
        <w:color w:val="808080"/>
        <w:sz w:val="18"/>
        <w:szCs w:val="18"/>
      </w:rPr>
      <w:t>ú</w:t>
    </w:r>
    <w:proofErr w:type="spellEnd"/>
    <w:r w:rsidRPr="009C2AC1">
      <w:rPr>
        <w:color w:val="808080"/>
        <w:sz w:val="18"/>
        <w:szCs w:val="18"/>
      </w:rPr>
      <w:t xml:space="preserve">.: 17478393/0300, </w:t>
    </w:r>
    <w:proofErr w:type="spellStart"/>
    <w:r w:rsidRPr="009C2AC1">
      <w:rPr>
        <w:color w:val="808080"/>
        <w:sz w:val="18"/>
        <w:szCs w:val="18"/>
      </w:rPr>
      <w:t>IČ</w:t>
    </w:r>
    <w:proofErr w:type="spellEnd"/>
    <w:r w:rsidRPr="009C2AC1">
      <w:rPr>
        <w:color w:val="808080"/>
        <w:sz w:val="18"/>
        <w:szCs w:val="18"/>
      </w:rPr>
      <w:t xml:space="preserve">: 00409928, DIČ: </w:t>
    </w:r>
    <w:proofErr w:type="spellStart"/>
    <w:r w:rsidRPr="009C2AC1">
      <w:rPr>
        <w:color w:val="808080"/>
        <w:sz w:val="18"/>
        <w:szCs w:val="18"/>
      </w:rPr>
      <w:t>CZ00409928</w:t>
    </w:r>
    <w:proofErr w:type="spellEnd"/>
    <w:r w:rsidRPr="009C2AC1">
      <w:rPr>
        <w:color w:val="808080"/>
        <w:sz w:val="18"/>
        <w:szCs w:val="18"/>
      </w:rPr>
      <w:br/>
      <w:t xml:space="preserve">Tel.: +420 222 518 811, e-mail: </w:t>
    </w:r>
    <w:hyperlink r:id="rId1" w:history="1">
      <w:proofErr w:type="spellStart"/>
      <w:r w:rsidRPr="009C2AC1">
        <w:rPr>
          <w:rStyle w:val="Hypertextovodkaz"/>
          <w:color w:val="808080"/>
          <w:sz w:val="18"/>
          <w:szCs w:val="18"/>
        </w:rPr>
        <w:t>cpsvaz</w:t>
      </w:r>
      <w:proofErr w:type="spellEnd"/>
      <w:r w:rsidRPr="009C2AC1">
        <w:rPr>
          <w:rStyle w:val="Hypertextovodkaz"/>
          <w:color w:val="808080"/>
          <w:sz w:val="18"/>
          <w:szCs w:val="18"/>
        </w:rPr>
        <w:t>@</w:t>
      </w:r>
      <w:proofErr w:type="spellStart"/>
      <w:r w:rsidRPr="009C2AC1">
        <w:rPr>
          <w:rStyle w:val="Hypertextovodkaz"/>
          <w:color w:val="808080"/>
          <w:sz w:val="18"/>
          <w:szCs w:val="18"/>
        </w:rPr>
        <w:t>cgoa.cz</w:t>
      </w:r>
      <w:proofErr w:type="spellEnd"/>
    </w:hyperlink>
    <w:r w:rsidRPr="009C2AC1">
      <w:rPr>
        <w:color w:val="808080"/>
        <w:sz w:val="18"/>
        <w:szCs w:val="18"/>
      </w:rPr>
      <w:t>, ekonom: +420 241 049 724</w:t>
    </w:r>
  </w:p>
  <w:p w:rsidR="002F4953" w:rsidRPr="009C2AC1" w:rsidRDefault="002F4953" w:rsidP="00880474">
    <w:pPr>
      <w:pStyle w:val="Zpat"/>
      <w:spacing w:line="276" w:lineRule="auto"/>
      <w:jc w:val="center"/>
      <w:rPr>
        <w:color w:val="1F497D"/>
        <w:sz w:val="18"/>
        <w:szCs w:val="18"/>
      </w:rPr>
    </w:pPr>
    <w:r w:rsidRPr="009C2AC1">
      <w:rPr>
        <w:color w:val="808080"/>
        <w:sz w:val="18"/>
        <w:szCs w:val="18"/>
      </w:rPr>
      <w:t xml:space="preserve">Časopis PLYN: tel.: +420 241 049 722, e-mail: </w:t>
    </w:r>
    <w:hyperlink r:id="rId2" w:history="1">
      <w:r w:rsidRPr="009C2AC1">
        <w:rPr>
          <w:rStyle w:val="Hypertextovodkaz"/>
          <w:color w:val="808080"/>
          <w:sz w:val="18"/>
          <w:szCs w:val="18"/>
        </w:rPr>
        <w:t>plyn@</w:t>
      </w:r>
      <w:proofErr w:type="spellStart"/>
      <w:r w:rsidRPr="009C2AC1">
        <w:rPr>
          <w:rStyle w:val="Hypertextovodkaz"/>
          <w:color w:val="808080"/>
          <w:sz w:val="18"/>
          <w:szCs w:val="18"/>
        </w:rPr>
        <w:t>cgoa.cz</w:t>
      </w:r>
      <w:proofErr w:type="spellEnd"/>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1C" w:rsidRDefault="0082581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81C" w:rsidRDefault="0082581C">
      <w:r>
        <w:separator/>
      </w:r>
    </w:p>
  </w:footnote>
  <w:footnote w:type="continuationSeparator" w:id="0">
    <w:p w:rsidR="0082581C" w:rsidRDefault="00825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1C" w:rsidRDefault="0082581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53" w:rsidRDefault="00337931" w:rsidP="00F54639">
    <w:pPr>
      <w:pStyle w:val="Zhlav"/>
      <w:jc w:val="center"/>
    </w:pPr>
    <w:r>
      <w:rPr>
        <w:noProof/>
      </w:rPr>
      <w:drawing>
        <wp:inline distT="0" distB="0" distL="0" distR="0">
          <wp:extent cx="3088005" cy="802005"/>
          <wp:effectExtent l="0" t="0" r="0" b="0"/>
          <wp:docPr id="1" name="obrázek 1" descr="CPS_logo s tex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_logo s texte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8005" cy="80200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1C" w:rsidRDefault="0082581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76731"/>
    <w:multiLevelType w:val="hybridMultilevel"/>
    <w:tmpl w:val="070A5212"/>
    <w:lvl w:ilvl="0" w:tplc="1F8ED634">
      <w:start w:val="2"/>
      <w:numFmt w:val="upp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mailMerge>
    <w:mainDocumentType w:val="formLetters"/>
    <w:linkToQuery/>
    <w:dataType w:val="native"/>
    <w:query w:val="SELECT * FROM `List1$`"/>
    <w:activeRecord w:val="-1"/>
    <w:odso/>
  </w:mailMerge>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rsids>
    <w:rsidRoot w:val="00970523"/>
    <w:rsid w:val="000026A2"/>
    <w:rsid w:val="0002598F"/>
    <w:rsid w:val="00032CEA"/>
    <w:rsid w:val="00045E63"/>
    <w:rsid w:val="00062E0E"/>
    <w:rsid w:val="00067560"/>
    <w:rsid w:val="00082172"/>
    <w:rsid w:val="000A7766"/>
    <w:rsid w:val="000B5888"/>
    <w:rsid w:val="000B6FDA"/>
    <w:rsid w:val="000E624F"/>
    <w:rsid w:val="000F183D"/>
    <w:rsid w:val="00145899"/>
    <w:rsid w:val="00163EBA"/>
    <w:rsid w:val="001643D2"/>
    <w:rsid w:val="0016578B"/>
    <w:rsid w:val="00170D1F"/>
    <w:rsid w:val="0018768C"/>
    <w:rsid w:val="00191EFA"/>
    <w:rsid w:val="00192694"/>
    <w:rsid w:val="001A30B1"/>
    <w:rsid w:val="001A7EA6"/>
    <w:rsid w:val="001B6A43"/>
    <w:rsid w:val="001D7C56"/>
    <w:rsid w:val="001E162D"/>
    <w:rsid w:val="001E4C91"/>
    <w:rsid w:val="00207772"/>
    <w:rsid w:val="002205D6"/>
    <w:rsid w:val="002334FE"/>
    <w:rsid w:val="00254F78"/>
    <w:rsid w:val="00294404"/>
    <w:rsid w:val="002B0C0A"/>
    <w:rsid w:val="002C2932"/>
    <w:rsid w:val="002C5125"/>
    <w:rsid w:val="002E0D97"/>
    <w:rsid w:val="002F4953"/>
    <w:rsid w:val="003142AC"/>
    <w:rsid w:val="00337931"/>
    <w:rsid w:val="00346E48"/>
    <w:rsid w:val="00384800"/>
    <w:rsid w:val="003B2CE5"/>
    <w:rsid w:val="003B4BF0"/>
    <w:rsid w:val="003C245E"/>
    <w:rsid w:val="003D49B0"/>
    <w:rsid w:val="003F2F4D"/>
    <w:rsid w:val="0040675B"/>
    <w:rsid w:val="00406798"/>
    <w:rsid w:val="0041504C"/>
    <w:rsid w:val="00434738"/>
    <w:rsid w:val="004713D4"/>
    <w:rsid w:val="0047285B"/>
    <w:rsid w:val="004757AE"/>
    <w:rsid w:val="00487385"/>
    <w:rsid w:val="004B41B8"/>
    <w:rsid w:val="004C1434"/>
    <w:rsid w:val="004D38EC"/>
    <w:rsid w:val="004D4106"/>
    <w:rsid w:val="004E6CC0"/>
    <w:rsid w:val="004F4CC6"/>
    <w:rsid w:val="004F6F11"/>
    <w:rsid w:val="00500B88"/>
    <w:rsid w:val="0050420F"/>
    <w:rsid w:val="00506C04"/>
    <w:rsid w:val="0052179C"/>
    <w:rsid w:val="005241B1"/>
    <w:rsid w:val="00525631"/>
    <w:rsid w:val="0054472E"/>
    <w:rsid w:val="0056358A"/>
    <w:rsid w:val="00573F2F"/>
    <w:rsid w:val="005A1A3F"/>
    <w:rsid w:val="005A73A7"/>
    <w:rsid w:val="005B041E"/>
    <w:rsid w:val="005C0F39"/>
    <w:rsid w:val="005C73A4"/>
    <w:rsid w:val="00605F96"/>
    <w:rsid w:val="00636F3A"/>
    <w:rsid w:val="00643747"/>
    <w:rsid w:val="00644886"/>
    <w:rsid w:val="006469B1"/>
    <w:rsid w:val="00650963"/>
    <w:rsid w:val="00671CF1"/>
    <w:rsid w:val="0068314F"/>
    <w:rsid w:val="00693A0B"/>
    <w:rsid w:val="006A2378"/>
    <w:rsid w:val="006B77F4"/>
    <w:rsid w:val="006B7C36"/>
    <w:rsid w:val="006C3C54"/>
    <w:rsid w:val="006F3C2D"/>
    <w:rsid w:val="00710932"/>
    <w:rsid w:val="007464BF"/>
    <w:rsid w:val="007746B3"/>
    <w:rsid w:val="0077631B"/>
    <w:rsid w:val="00797890"/>
    <w:rsid w:val="007A76A7"/>
    <w:rsid w:val="007C112C"/>
    <w:rsid w:val="007C156E"/>
    <w:rsid w:val="007F608D"/>
    <w:rsid w:val="007F65D3"/>
    <w:rsid w:val="0082581C"/>
    <w:rsid w:val="00830CCD"/>
    <w:rsid w:val="008573C7"/>
    <w:rsid w:val="00870CE7"/>
    <w:rsid w:val="00880474"/>
    <w:rsid w:val="00885E3E"/>
    <w:rsid w:val="008B37E0"/>
    <w:rsid w:val="008C4D71"/>
    <w:rsid w:val="008D71AF"/>
    <w:rsid w:val="008E057E"/>
    <w:rsid w:val="008F36C0"/>
    <w:rsid w:val="008F7870"/>
    <w:rsid w:val="009034D5"/>
    <w:rsid w:val="00904D5A"/>
    <w:rsid w:val="00913D81"/>
    <w:rsid w:val="00917CAA"/>
    <w:rsid w:val="00923129"/>
    <w:rsid w:val="009317A3"/>
    <w:rsid w:val="009503BF"/>
    <w:rsid w:val="00954686"/>
    <w:rsid w:val="00955220"/>
    <w:rsid w:val="00970523"/>
    <w:rsid w:val="00983F3E"/>
    <w:rsid w:val="009937E1"/>
    <w:rsid w:val="009A3E67"/>
    <w:rsid w:val="009C2AC1"/>
    <w:rsid w:val="009C4A8F"/>
    <w:rsid w:val="009E36DD"/>
    <w:rsid w:val="009E4D6A"/>
    <w:rsid w:val="00A13224"/>
    <w:rsid w:val="00A1541F"/>
    <w:rsid w:val="00A24019"/>
    <w:rsid w:val="00A335C4"/>
    <w:rsid w:val="00A456D8"/>
    <w:rsid w:val="00A5403C"/>
    <w:rsid w:val="00A54568"/>
    <w:rsid w:val="00A6700E"/>
    <w:rsid w:val="00A7683E"/>
    <w:rsid w:val="00A776FF"/>
    <w:rsid w:val="00AB2CD8"/>
    <w:rsid w:val="00AB3BD0"/>
    <w:rsid w:val="00AD20AE"/>
    <w:rsid w:val="00AD23CF"/>
    <w:rsid w:val="00AD6EB0"/>
    <w:rsid w:val="00AE5E10"/>
    <w:rsid w:val="00B11E95"/>
    <w:rsid w:val="00B27BFA"/>
    <w:rsid w:val="00B358A3"/>
    <w:rsid w:val="00B678DB"/>
    <w:rsid w:val="00B67FE6"/>
    <w:rsid w:val="00B7500C"/>
    <w:rsid w:val="00B85BED"/>
    <w:rsid w:val="00B90B77"/>
    <w:rsid w:val="00BE35B5"/>
    <w:rsid w:val="00BE71DC"/>
    <w:rsid w:val="00BF7008"/>
    <w:rsid w:val="00C07D4F"/>
    <w:rsid w:val="00C34EA0"/>
    <w:rsid w:val="00C36B2B"/>
    <w:rsid w:val="00C81562"/>
    <w:rsid w:val="00C93E0D"/>
    <w:rsid w:val="00CA3167"/>
    <w:rsid w:val="00CB52E2"/>
    <w:rsid w:val="00CD5A9E"/>
    <w:rsid w:val="00CE3B1D"/>
    <w:rsid w:val="00CE68A2"/>
    <w:rsid w:val="00D14266"/>
    <w:rsid w:val="00D36055"/>
    <w:rsid w:val="00D47CBC"/>
    <w:rsid w:val="00D762FB"/>
    <w:rsid w:val="00D7696A"/>
    <w:rsid w:val="00D84E4B"/>
    <w:rsid w:val="00DC70C9"/>
    <w:rsid w:val="00DD1074"/>
    <w:rsid w:val="00DD1495"/>
    <w:rsid w:val="00DE6F2E"/>
    <w:rsid w:val="00DF55BF"/>
    <w:rsid w:val="00E21784"/>
    <w:rsid w:val="00E2490F"/>
    <w:rsid w:val="00E3297C"/>
    <w:rsid w:val="00E43BD4"/>
    <w:rsid w:val="00E53875"/>
    <w:rsid w:val="00E644A3"/>
    <w:rsid w:val="00E65EB4"/>
    <w:rsid w:val="00E9209A"/>
    <w:rsid w:val="00EA0870"/>
    <w:rsid w:val="00EB11B1"/>
    <w:rsid w:val="00EC7C3D"/>
    <w:rsid w:val="00ED5DAC"/>
    <w:rsid w:val="00EF1211"/>
    <w:rsid w:val="00F07A8C"/>
    <w:rsid w:val="00F230FD"/>
    <w:rsid w:val="00F32CF1"/>
    <w:rsid w:val="00F451CC"/>
    <w:rsid w:val="00F50647"/>
    <w:rsid w:val="00F54639"/>
    <w:rsid w:val="00F677D6"/>
    <w:rsid w:val="00F707EF"/>
    <w:rsid w:val="00F820BF"/>
    <w:rsid w:val="00FA27D8"/>
    <w:rsid w:val="00FB7B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A30B1"/>
    <w:pPr>
      <w:jc w:val="both"/>
    </w:pPr>
    <w:rPr>
      <w:rFonts w:ascii="Arial" w:hAnsi="Arial" w:cs="Arial"/>
      <w:bCs/>
      <w:sz w:val="22"/>
      <w:szCs w:val="22"/>
    </w:rPr>
  </w:style>
  <w:style w:type="paragraph" w:styleId="Nadpis1">
    <w:name w:val="heading 1"/>
    <w:basedOn w:val="Normln"/>
    <w:next w:val="Normln"/>
    <w:link w:val="Nadpis1Char"/>
    <w:autoRedefine/>
    <w:qFormat/>
    <w:rsid w:val="00DC70C9"/>
    <w:pPr>
      <w:keepNext/>
      <w:spacing w:before="480" w:after="300"/>
      <w:jc w:val="center"/>
      <w:outlineLvl w:val="0"/>
    </w:pPr>
    <w:rPr>
      <w:rFonts w:cs="Times New Roman"/>
      <w:color w:val="1F497D"/>
      <w:kern w:val="32"/>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C73A4"/>
    <w:pPr>
      <w:tabs>
        <w:tab w:val="center" w:pos="4536"/>
        <w:tab w:val="right" w:pos="9072"/>
      </w:tabs>
    </w:pPr>
  </w:style>
  <w:style w:type="paragraph" w:styleId="Zpat">
    <w:name w:val="footer"/>
    <w:basedOn w:val="Normln"/>
    <w:rsid w:val="005C73A4"/>
    <w:pPr>
      <w:tabs>
        <w:tab w:val="center" w:pos="4536"/>
        <w:tab w:val="right" w:pos="9072"/>
      </w:tabs>
    </w:pPr>
  </w:style>
  <w:style w:type="character" w:styleId="Hypertextovodkaz">
    <w:name w:val="Hyperlink"/>
    <w:rsid w:val="005C73A4"/>
    <w:rPr>
      <w:color w:val="0000FF"/>
      <w:u w:val="single"/>
    </w:rPr>
  </w:style>
  <w:style w:type="paragraph" w:styleId="Textbubliny">
    <w:name w:val="Balloon Text"/>
    <w:basedOn w:val="Normln"/>
    <w:semiHidden/>
    <w:rsid w:val="005C73A4"/>
    <w:rPr>
      <w:rFonts w:ascii="Tahoma" w:hAnsi="Tahoma" w:cs="Tahoma"/>
      <w:sz w:val="16"/>
      <w:szCs w:val="16"/>
    </w:rPr>
  </w:style>
  <w:style w:type="character" w:customStyle="1" w:styleId="Nadpis1Char">
    <w:name w:val="Nadpis 1 Char"/>
    <w:link w:val="Nadpis1"/>
    <w:rsid w:val="00DC70C9"/>
    <w:rPr>
      <w:rFonts w:ascii="Arial" w:hAnsi="Arial"/>
      <w:bCs/>
      <w:color w:val="1F497D"/>
      <w:kern w:val="32"/>
      <w:sz w:val="40"/>
      <w:szCs w:val="40"/>
    </w:rPr>
  </w:style>
  <w:style w:type="paragraph" w:styleId="Nzev">
    <w:name w:val="Title"/>
    <w:aliases w:val="Nadpis2"/>
    <w:basedOn w:val="Normln"/>
    <w:next w:val="Normln"/>
    <w:link w:val="NzevChar"/>
    <w:autoRedefine/>
    <w:qFormat/>
    <w:rsid w:val="007F65D3"/>
    <w:pPr>
      <w:spacing w:before="360" w:after="180"/>
      <w:jc w:val="left"/>
      <w:outlineLvl w:val="0"/>
    </w:pPr>
    <w:rPr>
      <w:rFonts w:cs="Times New Roman"/>
      <w:color w:val="1F497D"/>
      <w:kern w:val="28"/>
      <w:sz w:val="32"/>
      <w:szCs w:val="32"/>
    </w:rPr>
  </w:style>
  <w:style w:type="character" w:customStyle="1" w:styleId="NzevChar">
    <w:name w:val="Název Char"/>
    <w:aliases w:val="Nadpis2 Char"/>
    <w:link w:val="Nzev"/>
    <w:rsid w:val="007F65D3"/>
    <w:rPr>
      <w:rFonts w:ascii="Arial" w:hAnsi="Arial"/>
      <w:bCs/>
      <w:color w:val="1F497D"/>
      <w:kern w:val="28"/>
      <w:sz w:val="32"/>
      <w:szCs w:val="32"/>
    </w:rPr>
  </w:style>
  <w:style w:type="paragraph" w:styleId="Podtitul">
    <w:name w:val="Subtitle"/>
    <w:aliases w:val="Nadpis3"/>
    <w:basedOn w:val="Normln"/>
    <w:next w:val="Normln"/>
    <w:link w:val="PodtitulChar"/>
    <w:qFormat/>
    <w:rsid w:val="001A30B1"/>
    <w:pPr>
      <w:spacing w:after="60"/>
      <w:jc w:val="left"/>
      <w:outlineLvl w:val="1"/>
    </w:pPr>
    <w:rPr>
      <w:rFonts w:cs="Times New Roman"/>
      <w:b/>
      <w:sz w:val="28"/>
      <w:szCs w:val="24"/>
    </w:rPr>
  </w:style>
  <w:style w:type="character" w:customStyle="1" w:styleId="PodtitulChar">
    <w:name w:val="Podtitul Char"/>
    <w:aliases w:val="Nadpis3 Char"/>
    <w:link w:val="Podtitul"/>
    <w:rsid w:val="001A30B1"/>
    <w:rPr>
      <w:rFonts w:ascii="Arial" w:eastAsia="Times New Roman" w:hAnsi="Arial" w:cs="Times New Roman"/>
      <w:b/>
      <w:bCs/>
      <w:sz w:val="28"/>
      <w:szCs w:val="24"/>
      <w:lang w:eastAsia="cs-CZ"/>
    </w:rPr>
  </w:style>
  <w:style w:type="character" w:styleId="Siln">
    <w:name w:val="Strong"/>
    <w:qFormat/>
    <w:rsid w:val="001A30B1"/>
    <w:rPr>
      <w:rFonts w:ascii="Arial" w:hAnsi="Arial"/>
      <w:b/>
      <w:bCs/>
    </w:rPr>
  </w:style>
  <w:style w:type="character" w:styleId="Zvraznn">
    <w:name w:val="Emphasis"/>
    <w:aliases w:val="Zdroj"/>
    <w:qFormat/>
    <w:rsid w:val="001A30B1"/>
    <w:rPr>
      <w:rFonts w:ascii="Arial" w:hAnsi="Arial"/>
      <w:i/>
      <w:iCs/>
    </w:rPr>
  </w:style>
  <w:style w:type="paragraph" w:styleId="Citaceintenzivn">
    <w:name w:val="Intense Quote"/>
    <w:aliases w:val="Odkaz"/>
    <w:basedOn w:val="Normln"/>
    <w:next w:val="Normln"/>
    <w:link w:val="CitaceintenzivnChar"/>
    <w:autoRedefine/>
    <w:uiPriority w:val="30"/>
    <w:qFormat/>
    <w:rsid w:val="00C07D4F"/>
    <w:pPr>
      <w:pBdr>
        <w:bottom w:val="single" w:sz="4" w:space="4" w:color="4F81BD"/>
      </w:pBdr>
      <w:spacing w:before="200" w:after="280"/>
      <w:ind w:left="936" w:right="936"/>
      <w:jc w:val="left"/>
    </w:pPr>
    <w:rPr>
      <w:bCs w:val="0"/>
      <w:iCs/>
      <w:color w:val="1F497D"/>
      <w:u w:val="single"/>
    </w:rPr>
  </w:style>
  <w:style w:type="character" w:customStyle="1" w:styleId="CitaceintenzivnChar">
    <w:name w:val="Citace – intenzivní Char"/>
    <w:aliases w:val="Odkaz Char"/>
    <w:link w:val="Citaceintenzivn"/>
    <w:uiPriority w:val="30"/>
    <w:rsid w:val="00C07D4F"/>
    <w:rPr>
      <w:rFonts w:ascii="Arial" w:hAnsi="Arial" w:cs="Arial"/>
      <w:iCs/>
      <w:color w:val="1F497D"/>
      <w:sz w:val="22"/>
      <w:szCs w:val="22"/>
      <w:u w:val="single"/>
    </w:rPr>
  </w:style>
  <w:style w:type="table" w:styleId="Mkatabulky">
    <w:name w:val="Table Grid"/>
    <w:basedOn w:val="Normlntabulka"/>
    <w:uiPriority w:val="59"/>
    <w:rsid w:val="00DC70C9"/>
    <w:rPr>
      <w:rFonts w:ascii="Franklin Gothic Book" w:eastAsiaTheme="minorHAnsi" w:hAnsi="Franklin Gothic 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link w:val="OdstavecseseznamemChar"/>
    <w:uiPriority w:val="34"/>
    <w:qFormat/>
    <w:rsid w:val="00DC70C9"/>
    <w:pPr>
      <w:spacing w:after="200" w:line="276" w:lineRule="auto"/>
      <w:ind w:left="720"/>
      <w:contextualSpacing/>
      <w:jc w:val="left"/>
    </w:pPr>
    <w:rPr>
      <w:rFonts w:ascii="Franklin Gothic Book" w:eastAsiaTheme="minorHAnsi" w:hAnsi="Franklin Gothic Book" w:cs="Times New Roman"/>
      <w:bCs w:val="0"/>
      <w:lang w:eastAsia="en-US"/>
    </w:rPr>
  </w:style>
  <w:style w:type="character" w:customStyle="1" w:styleId="OdstavecseseznamemChar">
    <w:name w:val="Odstavec se seznamem Char"/>
    <w:basedOn w:val="Standardnpsmoodstavce"/>
    <w:link w:val="Odstavecseseznamem"/>
    <w:uiPriority w:val="34"/>
    <w:qFormat/>
    <w:locked/>
    <w:rsid w:val="00DC70C9"/>
    <w:rPr>
      <w:rFonts w:ascii="Franklin Gothic Book" w:eastAsiaTheme="minorHAnsi" w:hAnsi="Franklin Gothic Book"/>
      <w:sz w:val="22"/>
      <w:szCs w:val="22"/>
      <w:lang w:eastAsia="en-US"/>
    </w:rPr>
  </w:style>
</w:styles>
</file>

<file path=word/webSettings.xml><?xml version="1.0" encoding="utf-8"?>
<w:webSettings xmlns:r="http://schemas.openxmlformats.org/officeDocument/2006/relationships" xmlns:w="http://schemas.openxmlformats.org/wordprocessingml/2006/main">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lyn@cgoa.cz" TargetMode="External"/><Relationship Id="rId1" Type="http://schemas.openxmlformats.org/officeDocument/2006/relationships/hyperlink" Target="mailto:cpsvaz@cgo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268;PS\2018\dopisy%20&#268;PS\odeslan&#233;%20dopisy%202018\&#352;ABLONY\nov&#225;%20sablona_hlavickovy-papi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96EB-84AE-47DD-9CEC-7B05F7A6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nová sablona_hlavickovy-papir.dotx</Template>
  <TotalTime>17</TotalTime>
  <Pages>4</Pages>
  <Words>1596</Words>
  <Characters>9171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Ammmammkakakkakkakskdscncn</vt:lpstr>
    </vt:vector>
  </TitlesOfParts>
  <Company>Microsoft</Company>
  <LinksUpToDate>false</LinksUpToDate>
  <CharactersWithSpaces>10746</CharactersWithSpaces>
  <SharedDoc>false</SharedDoc>
  <HLinks>
    <vt:vector size="18" baseType="variant">
      <vt:variant>
        <vt:i4>7274545</vt:i4>
      </vt:variant>
      <vt:variant>
        <vt:i4>0</vt:i4>
      </vt:variant>
      <vt:variant>
        <vt:i4>0</vt:i4>
      </vt:variant>
      <vt:variant>
        <vt:i4>5</vt:i4>
      </vt:variant>
      <vt:variant>
        <vt:lpwstr>http://www.cng4you.cz/</vt:lpwstr>
      </vt:variant>
      <vt:variant>
        <vt:lpwstr/>
      </vt:variant>
      <vt:variant>
        <vt:i4>5111914</vt:i4>
      </vt:variant>
      <vt:variant>
        <vt:i4>3</vt:i4>
      </vt:variant>
      <vt:variant>
        <vt:i4>0</vt:i4>
      </vt:variant>
      <vt:variant>
        <vt:i4>5</vt:i4>
      </vt:variant>
      <vt:variant>
        <vt:lpwstr>mailto:plyn@cgoa.cz</vt:lpwstr>
      </vt:variant>
      <vt:variant>
        <vt:lpwstr/>
      </vt:variant>
      <vt:variant>
        <vt:i4>3538964</vt:i4>
      </vt:variant>
      <vt:variant>
        <vt:i4>0</vt:i4>
      </vt:variant>
      <vt:variant>
        <vt:i4>0</vt:i4>
      </vt:variant>
      <vt:variant>
        <vt:i4>5</vt:i4>
      </vt:variant>
      <vt:variant>
        <vt:lpwstr>mailto:cpsvaz@cgoa.cz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Ammmammkakakkakkakskdscncn</dc:title>
  <dc:creator>Jirackova</dc:creator>
  <cp:lastModifiedBy>Autor2</cp:lastModifiedBy>
  <cp:revision>4</cp:revision>
  <cp:lastPrinted>2018-10-10T11:02:00Z</cp:lastPrinted>
  <dcterms:created xsi:type="dcterms:W3CDTF">2019-04-23T15:30:00Z</dcterms:created>
  <dcterms:modified xsi:type="dcterms:W3CDTF">2019-05-02T09:44:00Z</dcterms:modified>
</cp:coreProperties>
</file>