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24" w:rsidRDefault="00B40524"/>
    <w:p w:rsidR="00B40524" w:rsidRDefault="00B40524" w:rsidP="00B40524">
      <w:pPr>
        <w:jc w:val="center"/>
        <w:rPr>
          <w:b/>
          <w:sz w:val="36"/>
          <w:szCs w:val="36"/>
        </w:rPr>
      </w:pPr>
      <w:r w:rsidRPr="00B40524">
        <w:rPr>
          <w:b/>
          <w:sz w:val="36"/>
          <w:szCs w:val="36"/>
        </w:rPr>
        <w:t>Připomínky ČPS k návrhu zákona o hromadných žalobách</w:t>
      </w:r>
    </w:p>
    <w:p w:rsidR="00B40524" w:rsidRPr="00B40524" w:rsidRDefault="00B40524" w:rsidP="00B40524">
      <w:pPr>
        <w:jc w:val="center"/>
        <w:rPr>
          <w:sz w:val="36"/>
          <w:szCs w:val="36"/>
        </w:rPr>
      </w:pPr>
    </w:p>
    <w:p w:rsidR="004D5CCD" w:rsidRPr="00F44BB4" w:rsidRDefault="004D5CCD" w:rsidP="00B40524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SHRNUTÍ</w:t>
      </w:r>
      <w:r w:rsidR="009C28C1">
        <w:rPr>
          <w:b/>
        </w:rPr>
        <w:t xml:space="preserve"> HLAVNÍCH DOPADŮ PŘEDLOŽENÉHO MATERIÁLU</w:t>
      </w:r>
      <w:r w:rsidRPr="00C3752E">
        <w:rPr>
          <w:b/>
        </w:rPr>
        <w:t xml:space="preserve"> </w:t>
      </w:r>
      <w:r w:rsidR="009C28C1">
        <w:t xml:space="preserve"> </w:t>
      </w:r>
    </w:p>
    <w:p w:rsidR="00E02E9C" w:rsidRDefault="00E02E9C" w:rsidP="00B40524">
      <w:pPr>
        <w:tabs>
          <w:tab w:val="left" w:pos="567"/>
        </w:tabs>
        <w:spacing w:after="0" w:line="240" w:lineRule="auto"/>
        <w:contextualSpacing/>
        <w:jc w:val="both"/>
      </w:pPr>
    </w:p>
    <w:p w:rsidR="00F44BB4" w:rsidRPr="0032656F" w:rsidRDefault="00F44BB4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32656F">
        <w:rPr>
          <w:sz w:val="20"/>
          <w:szCs w:val="20"/>
        </w:rPr>
        <w:t xml:space="preserve">Máme za to, že předkládaný návrh se důsledně nevypořádává s otázkou reálných </w:t>
      </w:r>
      <w:r w:rsidR="003D54AD" w:rsidRPr="0032656F">
        <w:rPr>
          <w:sz w:val="20"/>
          <w:szCs w:val="20"/>
        </w:rPr>
        <w:t xml:space="preserve">dopadů a </w:t>
      </w:r>
      <w:r w:rsidR="009827F1" w:rsidRPr="0032656F">
        <w:rPr>
          <w:sz w:val="20"/>
          <w:szCs w:val="20"/>
        </w:rPr>
        <w:t xml:space="preserve">výše skutečných </w:t>
      </w:r>
      <w:r w:rsidRPr="0032656F">
        <w:rPr>
          <w:sz w:val="20"/>
          <w:szCs w:val="20"/>
        </w:rPr>
        <w:t xml:space="preserve">nákladů spojených se zavedením nového institutu hromadných žalob do </w:t>
      </w:r>
      <w:r w:rsidR="009827F1" w:rsidRPr="0032656F">
        <w:rPr>
          <w:sz w:val="20"/>
          <w:szCs w:val="20"/>
        </w:rPr>
        <w:t xml:space="preserve">české </w:t>
      </w:r>
      <w:r w:rsidRPr="0032656F">
        <w:rPr>
          <w:sz w:val="20"/>
          <w:szCs w:val="20"/>
        </w:rPr>
        <w:t>praxe. Dle důvodové zprávy jsou očekávány pouze „mírné“ finanční dopady na státní rozpočet, a to v</w:t>
      </w:r>
      <w:r w:rsidR="009827F1" w:rsidRPr="0032656F">
        <w:rPr>
          <w:sz w:val="20"/>
          <w:szCs w:val="20"/>
        </w:rPr>
        <w:t xml:space="preserve"> počátcích v </w:t>
      </w:r>
      <w:r w:rsidRPr="0032656F">
        <w:rPr>
          <w:sz w:val="20"/>
          <w:szCs w:val="20"/>
        </w:rPr>
        <w:t xml:space="preserve">souvislosti se zaváděním institutu do praxe. Předkladatel se přitom </w:t>
      </w:r>
      <w:r w:rsidR="003D54AD" w:rsidRPr="0032656F">
        <w:rPr>
          <w:sz w:val="20"/>
          <w:szCs w:val="20"/>
        </w:rPr>
        <w:t xml:space="preserve">reálně </w:t>
      </w:r>
      <w:r w:rsidRPr="0032656F">
        <w:rPr>
          <w:sz w:val="20"/>
          <w:szCs w:val="20"/>
        </w:rPr>
        <w:t>nevypořádává s otázkou organizační a personální připravenosti soudů</w:t>
      </w:r>
      <w:r w:rsidR="003D54AD" w:rsidRPr="0032656F">
        <w:rPr>
          <w:sz w:val="20"/>
          <w:szCs w:val="20"/>
        </w:rPr>
        <w:t xml:space="preserve">, na které ale do budoucna klade nemalé nároky </w:t>
      </w:r>
      <w:r w:rsidR="009827F1" w:rsidRPr="0032656F">
        <w:rPr>
          <w:sz w:val="20"/>
          <w:szCs w:val="20"/>
        </w:rPr>
        <w:t xml:space="preserve">při </w:t>
      </w:r>
      <w:r w:rsidR="00745CBD" w:rsidRPr="0032656F">
        <w:rPr>
          <w:sz w:val="20"/>
          <w:szCs w:val="20"/>
        </w:rPr>
        <w:t>administraci</w:t>
      </w:r>
      <w:r w:rsidR="003D54AD" w:rsidRPr="0032656F">
        <w:rPr>
          <w:sz w:val="20"/>
          <w:szCs w:val="20"/>
        </w:rPr>
        <w:t xml:space="preserve"> celého procesu</w:t>
      </w:r>
      <w:r w:rsidR="00745CBD" w:rsidRPr="0032656F">
        <w:rPr>
          <w:sz w:val="20"/>
          <w:szCs w:val="20"/>
        </w:rPr>
        <w:t xml:space="preserve"> tak, aby byl (nejen) pro spotřebitelé očekávaných přínosem</w:t>
      </w:r>
      <w:r w:rsidR="003D54AD" w:rsidRPr="0032656F">
        <w:rPr>
          <w:sz w:val="20"/>
          <w:szCs w:val="20"/>
        </w:rPr>
        <w:t>.</w:t>
      </w:r>
    </w:p>
    <w:p w:rsidR="003D54AD" w:rsidRPr="0032656F" w:rsidRDefault="003D54AD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:rsidR="00E02E9C" w:rsidRPr="0032656F" w:rsidRDefault="003D54AD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32656F">
        <w:rPr>
          <w:sz w:val="20"/>
          <w:szCs w:val="20"/>
        </w:rPr>
        <w:t xml:space="preserve">Předkladatel </w:t>
      </w:r>
      <w:r w:rsidR="003D4660" w:rsidRPr="0032656F">
        <w:rPr>
          <w:sz w:val="20"/>
          <w:szCs w:val="20"/>
        </w:rPr>
        <w:t>dále</w:t>
      </w:r>
      <w:r w:rsidRPr="0032656F">
        <w:rPr>
          <w:sz w:val="20"/>
          <w:szCs w:val="20"/>
        </w:rPr>
        <w:t xml:space="preserve"> zmiňuje </w:t>
      </w:r>
      <w:r w:rsidR="003D4660" w:rsidRPr="0032656F">
        <w:rPr>
          <w:sz w:val="20"/>
          <w:szCs w:val="20"/>
        </w:rPr>
        <w:t xml:space="preserve">stávající </w:t>
      </w:r>
      <w:r w:rsidRPr="0032656F">
        <w:rPr>
          <w:sz w:val="20"/>
          <w:szCs w:val="20"/>
        </w:rPr>
        <w:t xml:space="preserve">nevyhovující stav </w:t>
      </w:r>
      <w:r w:rsidR="003D4660" w:rsidRPr="0032656F">
        <w:rPr>
          <w:sz w:val="20"/>
          <w:szCs w:val="20"/>
        </w:rPr>
        <w:t xml:space="preserve">úrovně ochrany spotřebitelů, resp. (ne)vymahatelnosti jejich nároků s tím, že </w:t>
      </w:r>
      <w:r w:rsidR="00964ACB" w:rsidRPr="0032656F">
        <w:rPr>
          <w:sz w:val="20"/>
          <w:szCs w:val="20"/>
        </w:rPr>
        <w:t xml:space="preserve">mimo jiné </w:t>
      </w:r>
      <w:r w:rsidR="003D4660" w:rsidRPr="0032656F">
        <w:rPr>
          <w:sz w:val="20"/>
          <w:szCs w:val="20"/>
        </w:rPr>
        <w:t xml:space="preserve">rovněž poukazuje na omezené možnosti dozorových orgánů zjednat </w:t>
      </w:r>
      <w:r w:rsidR="00964ACB" w:rsidRPr="0032656F">
        <w:rPr>
          <w:sz w:val="20"/>
          <w:szCs w:val="20"/>
        </w:rPr>
        <w:t>nápravu. Tím dle našeho názoru částečně rezignuje na svoji dohledovou funkci. Přitom předkladatel přehlíží, že v některých případech by naopak bylo vhodné řešit nevyhovující stav aktivnějším přístupem dohledových orgánů</w:t>
      </w:r>
      <w:r w:rsidR="007601FA" w:rsidRPr="0032656F">
        <w:rPr>
          <w:sz w:val="20"/>
          <w:szCs w:val="20"/>
        </w:rPr>
        <w:t xml:space="preserve"> v rámci výkonu jejich pravomocí dle </w:t>
      </w:r>
      <w:r w:rsidR="009827F1" w:rsidRPr="0032656F">
        <w:rPr>
          <w:sz w:val="20"/>
          <w:szCs w:val="20"/>
        </w:rPr>
        <w:t xml:space="preserve">stávajících zákonů, zejména </w:t>
      </w:r>
      <w:r w:rsidR="007601FA" w:rsidRPr="0032656F">
        <w:rPr>
          <w:sz w:val="20"/>
          <w:szCs w:val="20"/>
        </w:rPr>
        <w:t>zákona o ochraně spotřebitele</w:t>
      </w:r>
      <w:r w:rsidR="00964ACB" w:rsidRPr="0032656F">
        <w:rPr>
          <w:sz w:val="20"/>
          <w:szCs w:val="20"/>
        </w:rPr>
        <w:t xml:space="preserve"> (jako příklad uvádíme v minulosti vzniklý kompetenční spor mezi ČOI a ERÚ v souvislosti s LED žárovky, kdy </w:t>
      </w:r>
      <w:r w:rsidR="000935C7" w:rsidRPr="0032656F">
        <w:rPr>
          <w:sz w:val="20"/>
          <w:szCs w:val="20"/>
        </w:rPr>
        <w:t>místo aktivn</w:t>
      </w:r>
      <w:r w:rsidR="002F221B" w:rsidRPr="0032656F">
        <w:rPr>
          <w:sz w:val="20"/>
          <w:szCs w:val="20"/>
        </w:rPr>
        <w:t xml:space="preserve">ějšího </w:t>
      </w:r>
      <w:r w:rsidR="000935C7" w:rsidRPr="0032656F">
        <w:rPr>
          <w:sz w:val="20"/>
          <w:szCs w:val="20"/>
        </w:rPr>
        <w:t xml:space="preserve">přístupu </w:t>
      </w:r>
      <w:r w:rsidR="002F221B" w:rsidRPr="0032656F">
        <w:rPr>
          <w:sz w:val="20"/>
          <w:szCs w:val="20"/>
        </w:rPr>
        <w:t xml:space="preserve">dohledových orgánů </w:t>
      </w:r>
      <w:r w:rsidR="000935C7" w:rsidRPr="0032656F">
        <w:rPr>
          <w:sz w:val="20"/>
          <w:szCs w:val="20"/>
        </w:rPr>
        <w:t xml:space="preserve">k aplikaci ustanovení zákona o ochraně spotřebitelů byla řada spotřebitelů nucena čekat na vyřešení tohoto sporu </w:t>
      </w:r>
      <w:r w:rsidR="009827F1" w:rsidRPr="0032656F">
        <w:rPr>
          <w:sz w:val="20"/>
          <w:szCs w:val="20"/>
        </w:rPr>
        <w:t>až po intervenci</w:t>
      </w:r>
      <w:r w:rsidR="000935C7" w:rsidRPr="0032656F">
        <w:rPr>
          <w:sz w:val="20"/>
          <w:szCs w:val="20"/>
        </w:rPr>
        <w:t xml:space="preserve"> MPO). </w:t>
      </w:r>
      <w:r w:rsidR="00745CBD" w:rsidRPr="0032656F">
        <w:rPr>
          <w:sz w:val="20"/>
          <w:szCs w:val="20"/>
        </w:rPr>
        <w:t>S odkazem na vládou schválený věcný záměr nového zákona o ochraně spotřebitele v roce 2017 podotýkáme, že nejdříve by bylo vhodné dořešit plánovanou rekodifikaci spotřebitelského práva, než zavádět do praxe zcela nový a cizorodý institut v podobě hromadných žalob.</w:t>
      </w:r>
    </w:p>
    <w:p w:rsidR="00B060DC" w:rsidRPr="0032656F" w:rsidRDefault="00B060DC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:rsidR="00B060DC" w:rsidRPr="0032656F" w:rsidRDefault="00B060DC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32656F">
        <w:rPr>
          <w:sz w:val="20"/>
          <w:szCs w:val="20"/>
        </w:rPr>
        <w:t xml:space="preserve">Dále bych rádi uvedli, že </w:t>
      </w:r>
      <w:r w:rsidR="009B244B" w:rsidRPr="0032656F">
        <w:rPr>
          <w:sz w:val="20"/>
          <w:szCs w:val="20"/>
        </w:rPr>
        <w:t xml:space="preserve">ani </w:t>
      </w:r>
      <w:r w:rsidRPr="0032656F">
        <w:rPr>
          <w:sz w:val="20"/>
          <w:szCs w:val="20"/>
        </w:rPr>
        <w:t xml:space="preserve">načasování </w:t>
      </w:r>
      <w:r w:rsidR="009B244B" w:rsidRPr="0032656F">
        <w:rPr>
          <w:sz w:val="20"/>
          <w:szCs w:val="20"/>
        </w:rPr>
        <w:t xml:space="preserve">předloženého legislativního návrhu nepovažuje za ideální, a to </w:t>
      </w:r>
      <w:r w:rsidRPr="0032656F">
        <w:rPr>
          <w:sz w:val="20"/>
          <w:szCs w:val="20"/>
        </w:rPr>
        <w:t>s ohledem na probíhající diskuzi o této problematice na úrovni EU.</w:t>
      </w:r>
    </w:p>
    <w:p w:rsidR="00745CBD" w:rsidRDefault="00745CBD" w:rsidP="00B40524">
      <w:pP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B40524">
      <w:pPr>
        <w:tabs>
          <w:tab w:val="left" w:pos="567"/>
        </w:tabs>
        <w:spacing w:after="0" w:line="240" w:lineRule="auto"/>
        <w:contextualSpacing/>
        <w:jc w:val="both"/>
      </w:pPr>
    </w:p>
    <w:p w:rsidR="004D5CCD" w:rsidRPr="005C70D0" w:rsidRDefault="004D5CCD" w:rsidP="00B40524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OBECN</w:t>
      </w:r>
      <w:r w:rsidR="00882E95">
        <w:rPr>
          <w:b/>
        </w:rPr>
        <w:t xml:space="preserve">É </w:t>
      </w:r>
      <w:r w:rsidRPr="00C3752E">
        <w:rPr>
          <w:b/>
        </w:rPr>
        <w:t>PŘIPOMÍNK</w:t>
      </w:r>
      <w:r w:rsidR="00882E95">
        <w:rPr>
          <w:b/>
        </w:rPr>
        <w:t>Y K NAVRHOVANÉ KONCEPCI ZÁKONA</w:t>
      </w:r>
      <w:r w:rsidR="003D2DAA">
        <w:rPr>
          <w:b/>
        </w:rPr>
        <w:t xml:space="preserve"> </w:t>
      </w:r>
    </w:p>
    <w:p w:rsidR="005C70D0" w:rsidRPr="0032656F" w:rsidRDefault="005C70D0" w:rsidP="00B40524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sz w:val="20"/>
          <w:szCs w:val="20"/>
        </w:rPr>
      </w:pPr>
    </w:p>
    <w:p w:rsidR="009827F1" w:rsidRPr="0032656F" w:rsidRDefault="002F221B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32656F">
        <w:rPr>
          <w:sz w:val="20"/>
          <w:szCs w:val="20"/>
        </w:rPr>
        <w:t xml:space="preserve">Zásadní koncepční připomínka se týká </w:t>
      </w:r>
      <w:r w:rsidR="00F44383" w:rsidRPr="0032656F">
        <w:rPr>
          <w:sz w:val="20"/>
          <w:szCs w:val="20"/>
        </w:rPr>
        <w:t>zejména zvolené preference odhlašovacího principu (</w:t>
      </w:r>
      <w:proofErr w:type="spellStart"/>
      <w:r w:rsidR="00F44383" w:rsidRPr="0032656F">
        <w:rPr>
          <w:sz w:val="20"/>
          <w:szCs w:val="20"/>
        </w:rPr>
        <w:t>opt</w:t>
      </w:r>
      <w:proofErr w:type="spellEnd"/>
      <w:r w:rsidR="00F44383" w:rsidRPr="0032656F">
        <w:rPr>
          <w:sz w:val="20"/>
          <w:szCs w:val="20"/>
        </w:rPr>
        <w:t>-</w:t>
      </w:r>
      <w:proofErr w:type="spellStart"/>
      <w:r w:rsidR="00F44383" w:rsidRPr="0032656F">
        <w:rPr>
          <w:sz w:val="20"/>
          <w:szCs w:val="20"/>
        </w:rPr>
        <w:t>out</w:t>
      </w:r>
      <w:proofErr w:type="spellEnd"/>
      <w:r w:rsidR="00F44383" w:rsidRPr="0032656F">
        <w:rPr>
          <w:sz w:val="20"/>
          <w:szCs w:val="20"/>
        </w:rPr>
        <w:t xml:space="preserve">). </w:t>
      </w:r>
      <w:r w:rsidR="00114FD2" w:rsidRPr="0032656F">
        <w:rPr>
          <w:sz w:val="20"/>
          <w:szCs w:val="20"/>
        </w:rPr>
        <w:t xml:space="preserve">Jsme si vědomi toho, že využití tohoto principu může být praktické u </w:t>
      </w:r>
      <w:proofErr w:type="spellStart"/>
      <w:r w:rsidR="00114FD2" w:rsidRPr="0032656F">
        <w:rPr>
          <w:sz w:val="20"/>
          <w:szCs w:val="20"/>
        </w:rPr>
        <w:t>negatorních</w:t>
      </w:r>
      <w:proofErr w:type="spellEnd"/>
      <w:r w:rsidR="00114FD2" w:rsidRPr="0032656F">
        <w:rPr>
          <w:sz w:val="20"/>
          <w:szCs w:val="20"/>
        </w:rPr>
        <w:t xml:space="preserve"> žalob (tj. žalob na zdrže</w:t>
      </w:r>
      <w:r w:rsidR="00B5769D" w:rsidRPr="0032656F">
        <w:rPr>
          <w:sz w:val="20"/>
          <w:szCs w:val="20"/>
        </w:rPr>
        <w:t>ní se protiprávního stavu</w:t>
      </w:r>
      <w:r w:rsidR="009827F1" w:rsidRPr="0032656F">
        <w:rPr>
          <w:sz w:val="20"/>
          <w:szCs w:val="20"/>
        </w:rPr>
        <w:t>, není-li možné ohraničit okruh dotčených osob</w:t>
      </w:r>
      <w:r w:rsidR="00B5769D" w:rsidRPr="0032656F">
        <w:rPr>
          <w:sz w:val="20"/>
          <w:szCs w:val="20"/>
        </w:rPr>
        <w:t>). U</w:t>
      </w:r>
      <w:r w:rsidR="003D4020" w:rsidRPr="0032656F">
        <w:rPr>
          <w:sz w:val="20"/>
          <w:szCs w:val="20"/>
        </w:rPr>
        <w:t xml:space="preserve"> žalob na plnění nepovažujeme tento přístup </w:t>
      </w:r>
      <w:r w:rsidR="00BA398E">
        <w:rPr>
          <w:sz w:val="20"/>
          <w:szCs w:val="20"/>
        </w:rPr>
        <w:t xml:space="preserve">ve všech případech </w:t>
      </w:r>
      <w:r w:rsidR="003D4020" w:rsidRPr="0032656F">
        <w:rPr>
          <w:sz w:val="20"/>
          <w:szCs w:val="20"/>
        </w:rPr>
        <w:t xml:space="preserve">za vhodný s ohledem </w:t>
      </w:r>
      <w:r w:rsidR="00B5769D" w:rsidRPr="0032656F">
        <w:rPr>
          <w:sz w:val="20"/>
          <w:szCs w:val="20"/>
        </w:rPr>
        <w:t>na některá rizika s tím spojená</w:t>
      </w:r>
      <w:r w:rsidR="00BA398E">
        <w:rPr>
          <w:sz w:val="20"/>
          <w:szCs w:val="20"/>
        </w:rPr>
        <w:t>.</w:t>
      </w:r>
      <w:r w:rsidR="00B5769D" w:rsidRPr="0032656F">
        <w:rPr>
          <w:sz w:val="20"/>
          <w:szCs w:val="20"/>
        </w:rPr>
        <w:t xml:space="preserve"> </w:t>
      </w:r>
      <w:r w:rsidR="00BA398E">
        <w:rPr>
          <w:sz w:val="20"/>
          <w:szCs w:val="20"/>
        </w:rPr>
        <w:t> Jako problematické vnímáme již</w:t>
      </w:r>
      <w:r w:rsidR="009827F1" w:rsidRPr="0032656F">
        <w:rPr>
          <w:sz w:val="20"/>
          <w:szCs w:val="20"/>
        </w:rPr>
        <w:t xml:space="preserve"> v</w:t>
      </w:r>
      <w:r w:rsidR="00B5769D" w:rsidRPr="0032656F">
        <w:rPr>
          <w:sz w:val="20"/>
          <w:szCs w:val="20"/>
        </w:rPr>
        <w:t>ágn</w:t>
      </w:r>
      <w:r w:rsidR="009827F1" w:rsidRPr="0032656F">
        <w:rPr>
          <w:sz w:val="20"/>
          <w:szCs w:val="20"/>
        </w:rPr>
        <w:t>ě</w:t>
      </w:r>
      <w:r w:rsidR="00B5769D" w:rsidRPr="0032656F">
        <w:rPr>
          <w:sz w:val="20"/>
          <w:szCs w:val="20"/>
        </w:rPr>
        <w:t xml:space="preserve"> </w:t>
      </w:r>
      <w:r w:rsidR="009827F1" w:rsidRPr="0032656F">
        <w:rPr>
          <w:sz w:val="20"/>
          <w:szCs w:val="20"/>
        </w:rPr>
        <w:t>formulovan</w:t>
      </w:r>
      <w:r w:rsidR="00BA398E">
        <w:rPr>
          <w:sz w:val="20"/>
          <w:szCs w:val="20"/>
        </w:rPr>
        <w:t>é</w:t>
      </w:r>
      <w:r w:rsidR="009827F1" w:rsidRPr="0032656F">
        <w:rPr>
          <w:sz w:val="20"/>
          <w:szCs w:val="20"/>
        </w:rPr>
        <w:t xml:space="preserve"> požadavky </w:t>
      </w:r>
      <w:r w:rsidR="003D4020" w:rsidRPr="0032656F">
        <w:rPr>
          <w:sz w:val="20"/>
          <w:szCs w:val="20"/>
        </w:rPr>
        <w:t>podmínek pro</w:t>
      </w:r>
      <w:r w:rsidR="00B5769D" w:rsidRPr="0032656F">
        <w:rPr>
          <w:sz w:val="20"/>
          <w:szCs w:val="20"/>
        </w:rPr>
        <w:t xml:space="preserve"> odhlašovací hromadní řízení (zejména požadavek, že „skupinu lze určit alespoň v hrubých rysech“</w:t>
      </w:r>
      <w:r w:rsidR="009827F1" w:rsidRPr="0032656F">
        <w:rPr>
          <w:sz w:val="20"/>
          <w:szCs w:val="20"/>
        </w:rPr>
        <w:t>)</w:t>
      </w:r>
      <w:r w:rsidR="00BA398E">
        <w:rPr>
          <w:sz w:val="20"/>
          <w:szCs w:val="20"/>
        </w:rPr>
        <w:t>, resp. vůbec provedení identifikace osob, kterým má být plněno</w:t>
      </w:r>
      <w:r w:rsidR="009827F1" w:rsidRPr="0032656F">
        <w:rPr>
          <w:sz w:val="20"/>
          <w:szCs w:val="20"/>
        </w:rPr>
        <w:t xml:space="preserve">. Dále </w:t>
      </w:r>
      <w:r w:rsidR="00745CBD" w:rsidRPr="0032656F">
        <w:rPr>
          <w:sz w:val="20"/>
          <w:szCs w:val="20"/>
        </w:rPr>
        <w:t>poukazujeme na</w:t>
      </w:r>
      <w:r w:rsidR="009827F1" w:rsidRPr="0032656F">
        <w:rPr>
          <w:sz w:val="20"/>
          <w:szCs w:val="20"/>
        </w:rPr>
        <w:t xml:space="preserve"> rizik</w:t>
      </w:r>
      <w:r w:rsidR="00745CBD" w:rsidRPr="0032656F">
        <w:rPr>
          <w:sz w:val="20"/>
          <w:szCs w:val="20"/>
        </w:rPr>
        <w:t>a</w:t>
      </w:r>
      <w:r w:rsidR="009827F1" w:rsidRPr="0032656F">
        <w:rPr>
          <w:sz w:val="20"/>
          <w:szCs w:val="20"/>
        </w:rPr>
        <w:t xml:space="preserve"> spojen</w:t>
      </w:r>
      <w:r w:rsidR="00745CBD" w:rsidRPr="0032656F">
        <w:rPr>
          <w:sz w:val="20"/>
          <w:szCs w:val="20"/>
        </w:rPr>
        <w:t>á</w:t>
      </w:r>
      <w:r w:rsidR="009827F1" w:rsidRPr="0032656F">
        <w:rPr>
          <w:sz w:val="20"/>
          <w:szCs w:val="20"/>
        </w:rPr>
        <w:t xml:space="preserve"> s celkovou</w:t>
      </w:r>
      <w:r w:rsidR="00B5769D" w:rsidRPr="0032656F">
        <w:rPr>
          <w:sz w:val="20"/>
          <w:szCs w:val="20"/>
        </w:rPr>
        <w:t xml:space="preserve"> náročnost</w:t>
      </w:r>
      <w:r w:rsidR="009827F1" w:rsidRPr="0032656F">
        <w:rPr>
          <w:sz w:val="20"/>
          <w:szCs w:val="20"/>
        </w:rPr>
        <w:t>i</w:t>
      </w:r>
      <w:r w:rsidR="00B5769D" w:rsidRPr="0032656F">
        <w:rPr>
          <w:sz w:val="20"/>
          <w:szCs w:val="20"/>
        </w:rPr>
        <w:t xml:space="preserve"> adminis</w:t>
      </w:r>
      <w:r w:rsidR="009827F1" w:rsidRPr="0032656F">
        <w:rPr>
          <w:sz w:val="20"/>
          <w:szCs w:val="20"/>
        </w:rPr>
        <w:t xml:space="preserve">trace vedení tohoto typu řízení, jak </w:t>
      </w:r>
      <w:r w:rsidR="00B5769D" w:rsidRPr="0032656F">
        <w:rPr>
          <w:sz w:val="20"/>
          <w:szCs w:val="20"/>
        </w:rPr>
        <w:t>z hlediska časového</w:t>
      </w:r>
      <w:r w:rsidR="009827F1" w:rsidRPr="0032656F">
        <w:rPr>
          <w:sz w:val="20"/>
          <w:szCs w:val="20"/>
        </w:rPr>
        <w:t>, tak z hlediska</w:t>
      </w:r>
      <w:r w:rsidR="00745CBD" w:rsidRPr="0032656F">
        <w:rPr>
          <w:sz w:val="20"/>
          <w:szCs w:val="20"/>
        </w:rPr>
        <w:t xml:space="preserve"> organizačního a odborného, proto je otázkou, zda nový institut bude opravdu efektivním nástrojem pro</w:t>
      </w:r>
      <w:r w:rsidR="00B060DC" w:rsidRPr="0032656F">
        <w:rPr>
          <w:sz w:val="20"/>
          <w:szCs w:val="20"/>
        </w:rPr>
        <w:t xml:space="preserve"> vymáhání nároků dotčených osob, jak </w:t>
      </w:r>
      <w:r w:rsidR="009B244B" w:rsidRPr="0032656F">
        <w:rPr>
          <w:sz w:val="20"/>
          <w:szCs w:val="20"/>
        </w:rPr>
        <w:t>přínosy nového institutu vyzdvihuje</w:t>
      </w:r>
      <w:r w:rsidR="00B060DC" w:rsidRPr="0032656F">
        <w:rPr>
          <w:sz w:val="20"/>
          <w:szCs w:val="20"/>
        </w:rPr>
        <w:t xml:space="preserve"> předkladatel.</w:t>
      </w:r>
      <w:r w:rsidR="006F6D04" w:rsidRPr="0032656F">
        <w:rPr>
          <w:sz w:val="20"/>
          <w:szCs w:val="20"/>
        </w:rPr>
        <w:t xml:space="preserve"> Má-li být institut hromadných žalob </w:t>
      </w:r>
      <w:r w:rsidR="009B244B" w:rsidRPr="0032656F">
        <w:rPr>
          <w:sz w:val="20"/>
          <w:szCs w:val="20"/>
        </w:rPr>
        <w:t xml:space="preserve">v budoucnu </w:t>
      </w:r>
      <w:r w:rsidR="006F6D04" w:rsidRPr="0032656F">
        <w:rPr>
          <w:sz w:val="20"/>
          <w:szCs w:val="20"/>
        </w:rPr>
        <w:t xml:space="preserve">zaveden do české praxe, přikláníme se spíše k inspiraci </w:t>
      </w:r>
      <w:r w:rsidR="009B244B" w:rsidRPr="0032656F">
        <w:rPr>
          <w:sz w:val="20"/>
          <w:szCs w:val="20"/>
        </w:rPr>
        <w:t xml:space="preserve">ze zemí, jejichž </w:t>
      </w:r>
      <w:r w:rsidR="006F6D04" w:rsidRPr="0032656F">
        <w:rPr>
          <w:sz w:val="20"/>
          <w:szCs w:val="20"/>
        </w:rPr>
        <w:t>model</w:t>
      </w:r>
      <w:r w:rsidR="009B244B" w:rsidRPr="0032656F">
        <w:rPr>
          <w:sz w:val="20"/>
          <w:szCs w:val="20"/>
        </w:rPr>
        <w:t xml:space="preserve"> je</w:t>
      </w:r>
      <w:r w:rsidR="006F6D04" w:rsidRPr="0032656F">
        <w:rPr>
          <w:sz w:val="20"/>
          <w:szCs w:val="20"/>
        </w:rPr>
        <w:t xml:space="preserve"> založen na principu přihlašovacího hromadného řízení (</w:t>
      </w:r>
      <w:proofErr w:type="spellStart"/>
      <w:r w:rsidR="006F6D04" w:rsidRPr="0032656F">
        <w:rPr>
          <w:sz w:val="20"/>
          <w:szCs w:val="20"/>
        </w:rPr>
        <w:t>opt</w:t>
      </w:r>
      <w:proofErr w:type="spellEnd"/>
      <w:r w:rsidR="006F6D04" w:rsidRPr="0032656F">
        <w:rPr>
          <w:sz w:val="20"/>
          <w:szCs w:val="20"/>
        </w:rPr>
        <w:t>-in)</w:t>
      </w:r>
      <w:r w:rsidR="009B244B" w:rsidRPr="0032656F">
        <w:rPr>
          <w:sz w:val="20"/>
          <w:szCs w:val="20"/>
        </w:rPr>
        <w:t xml:space="preserve">, který považujeme za potenciálně bližší českému civilnímu procesu, který je </w:t>
      </w:r>
      <w:r w:rsidR="005B0307" w:rsidRPr="0032656F">
        <w:rPr>
          <w:sz w:val="20"/>
          <w:szCs w:val="20"/>
        </w:rPr>
        <w:t xml:space="preserve">v případě sporných řízení typicky </w:t>
      </w:r>
      <w:r w:rsidR="009B244B" w:rsidRPr="0032656F">
        <w:rPr>
          <w:sz w:val="20"/>
          <w:szCs w:val="20"/>
        </w:rPr>
        <w:t>ovládán zásadou dispoziční</w:t>
      </w:r>
      <w:r w:rsidR="006F6D04" w:rsidRPr="0032656F">
        <w:rPr>
          <w:sz w:val="20"/>
          <w:szCs w:val="20"/>
        </w:rPr>
        <w:t>.</w:t>
      </w:r>
      <w:r w:rsidR="00BA398E">
        <w:rPr>
          <w:sz w:val="20"/>
          <w:szCs w:val="20"/>
        </w:rPr>
        <w:t xml:space="preserve"> Jsme si ale zároveň vědomi toho, že pro to, aby byl opravdu naplněn účel a přínos hromadných žalob z hlediska procesní ekonomie a zajištění hospodárnosti řízení a efektivity soudnictví, je potřeba i v případě principu </w:t>
      </w:r>
      <w:proofErr w:type="spellStart"/>
      <w:r w:rsidR="00BA398E">
        <w:rPr>
          <w:sz w:val="20"/>
          <w:szCs w:val="20"/>
        </w:rPr>
        <w:t>opt</w:t>
      </w:r>
      <w:proofErr w:type="spellEnd"/>
      <w:r w:rsidR="00BA398E">
        <w:rPr>
          <w:sz w:val="20"/>
          <w:szCs w:val="20"/>
        </w:rPr>
        <w:t>-in dále dořešit, resp. eliminovat hlavní nevýhody tohoto přístupu. Jak poukazují zkušenosti ze zemí, kde je tento princip uplatňován, značná část spotřebitelů nemusí být o existenci procesu vůbec informována s ohledem na nedostatek veřejně dostupných informací o procesu. To sebou nese riziko uplatňování nároků prostřednictvím série individuálních žalob, což popírá hlavní přínos hromadných žalob a bude mít rovněž negativní dopad na žalované subjekty z hlediska časového i administrativního a vůbec jejich jistotu ohledně rozsahu plnění, které má být poskytnuto (postupné uplatňování nároků může být pro žalované subjekty i likvidační).</w:t>
      </w:r>
      <w:bookmarkStart w:id="0" w:name="_GoBack"/>
      <w:bookmarkEnd w:id="0"/>
    </w:p>
    <w:p w:rsidR="00B060DC" w:rsidRPr="0032656F" w:rsidRDefault="00B060DC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:rsidR="00882E95" w:rsidRDefault="00B060DC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32656F">
        <w:rPr>
          <w:sz w:val="20"/>
          <w:szCs w:val="20"/>
        </w:rPr>
        <w:t>Dále poukazujeme na to, že předkládaný návrh zákona sice na jedné straně deklaruje zákaz zneužití institutu hromadné žaloby k poškozování konkurentů, na druhé straně v návrhu zcela absentují</w:t>
      </w:r>
      <w:r w:rsidR="00882E95">
        <w:rPr>
          <w:sz w:val="20"/>
          <w:szCs w:val="20"/>
        </w:rPr>
        <w:t xml:space="preserve"> účinné</w:t>
      </w:r>
      <w:r w:rsidRPr="0032656F">
        <w:rPr>
          <w:sz w:val="20"/>
          <w:szCs w:val="20"/>
        </w:rPr>
        <w:t xml:space="preserve"> nástroje, které by zamezovaly zneuž</w:t>
      </w:r>
      <w:r w:rsidR="00882E95">
        <w:rPr>
          <w:sz w:val="20"/>
          <w:szCs w:val="20"/>
        </w:rPr>
        <w:t>ití institutu hromadné žaloby jako prostředku konkurenčního boje, resp. „šikanóznímu“ podávání hromadných žalob</w:t>
      </w:r>
      <w:r w:rsidR="00034501" w:rsidRPr="0032656F">
        <w:rPr>
          <w:sz w:val="20"/>
          <w:szCs w:val="20"/>
        </w:rPr>
        <w:t xml:space="preserve">. </w:t>
      </w:r>
    </w:p>
    <w:p w:rsidR="00882E95" w:rsidRDefault="00882E95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:rsidR="006241B7" w:rsidRPr="0006682F" w:rsidRDefault="00034501" w:rsidP="00B40524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32656F">
        <w:rPr>
          <w:sz w:val="20"/>
          <w:szCs w:val="20"/>
        </w:rPr>
        <w:t xml:space="preserve">Nedostatečně jsou </w:t>
      </w:r>
      <w:r w:rsidR="006241B7" w:rsidRPr="0032656F">
        <w:rPr>
          <w:sz w:val="20"/>
          <w:szCs w:val="20"/>
        </w:rPr>
        <w:t xml:space="preserve">v této souvislosti </w:t>
      </w:r>
      <w:r w:rsidRPr="0032656F">
        <w:rPr>
          <w:sz w:val="20"/>
          <w:szCs w:val="20"/>
        </w:rPr>
        <w:t xml:space="preserve">řešeny požadavky na správce skupiny (podmínkou pro udělení akreditace je bezúhonnost, důvěryhodnost a odborná způsobilost, přičemž </w:t>
      </w:r>
      <w:r w:rsidR="006241B7" w:rsidRPr="0032656F">
        <w:rPr>
          <w:sz w:val="20"/>
          <w:szCs w:val="20"/>
        </w:rPr>
        <w:t>např. podmínkou odborné způsobilosti je v podstatě jen vysokoškolské vzdělání, není dále dořešena ani odpovědnost správce skupiny)</w:t>
      </w:r>
      <w:r w:rsidRPr="0032656F">
        <w:rPr>
          <w:sz w:val="20"/>
          <w:szCs w:val="20"/>
        </w:rPr>
        <w:t>, jehož role v hromadném řízení je přitom stěžejní</w:t>
      </w:r>
      <w:r w:rsidR="006241B7" w:rsidRPr="0032656F">
        <w:rPr>
          <w:sz w:val="20"/>
          <w:szCs w:val="20"/>
        </w:rPr>
        <w:t xml:space="preserve">. Domníváme se, že by se mělo jednat zejména o subjekty bez vazby na podnikatelské prostředí a s dostatečně </w:t>
      </w:r>
      <w:r w:rsidR="00FF5D30" w:rsidRPr="0032656F">
        <w:rPr>
          <w:sz w:val="20"/>
          <w:szCs w:val="20"/>
        </w:rPr>
        <w:t xml:space="preserve">průkaznou </w:t>
      </w:r>
      <w:r w:rsidR="003E0870">
        <w:rPr>
          <w:sz w:val="20"/>
          <w:szCs w:val="20"/>
        </w:rPr>
        <w:t xml:space="preserve">odbornou </w:t>
      </w:r>
      <w:r w:rsidR="00FF5D30" w:rsidRPr="0032656F">
        <w:rPr>
          <w:sz w:val="20"/>
          <w:szCs w:val="20"/>
        </w:rPr>
        <w:t xml:space="preserve">praxí (např. </w:t>
      </w:r>
      <w:r w:rsidR="003E0870">
        <w:rPr>
          <w:sz w:val="20"/>
          <w:szCs w:val="20"/>
        </w:rPr>
        <w:t xml:space="preserve">v oblasti </w:t>
      </w:r>
      <w:r w:rsidR="00FF5D30" w:rsidRPr="0032656F">
        <w:rPr>
          <w:sz w:val="20"/>
          <w:szCs w:val="20"/>
        </w:rPr>
        <w:t>ochran</w:t>
      </w:r>
      <w:r w:rsidR="003E0870">
        <w:rPr>
          <w:sz w:val="20"/>
          <w:szCs w:val="20"/>
        </w:rPr>
        <w:t>y</w:t>
      </w:r>
      <w:r w:rsidR="00FF5D30" w:rsidRPr="0032656F">
        <w:rPr>
          <w:sz w:val="20"/>
          <w:szCs w:val="20"/>
        </w:rPr>
        <w:t xml:space="preserve"> spotřebitele, </w:t>
      </w:r>
      <w:r w:rsidR="003E0870">
        <w:rPr>
          <w:sz w:val="20"/>
          <w:szCs w:val="20"/>
        </w:rPr>
        <w:t>bude-li pak zastupovat tuto skupinu dotčených</w:t>
      </w:r>
      <w:r w:rsidR="0006682F">
        <w:rPr>
          <w:sz w:val="20"/>
          <w:szCs w:val="20"/>
        </w:rPr>
        <w:t xml:space="preserve"> osob, resp. specializovat se na vymáhání spotřebitelských práv, popř. se specializací </w:t>
      </w:r>
      <w:r w:rsidR="003E0870">
        <w:rPr>
          <w:sz w:val="20"/>
          <w:szCs w:val="20"/>
        </w:rPr>
        <w:t>v</w:t>
      </w:r>
      <w:r w:rsidR="0006682F">
        <w:rPr>
          <w:sz w:val="20"/>
          <w:szCs w:val="20"/>
        </w:rPr>
        <w:t xml:space="preserve"> konkrétní </w:t>
      </w:r>
      <w:r w:rsidR="003E0870">
        <w:rPr>
          <w:sz w:val="20"/>
          <w:szCs w:val="20"/>
        </w:rPr>
        <w:t xml:space="preserve">oblasti </w:t>
      </w:r>
      <w:r w:rsidR="0006682F">
        <w:rPr>
          <w:sz w:val="20"/>
          <w:szCs w:val="20"/>
        </w:rPr>
        <w:t xml:space="preserve">právní úpravy jako je </w:t>
      </w:r>
      <w:r w:rsidR="00FF5D30" w:rsidRPr="0032656F">
        <w:rPr>
          <w:sz w:val="20"/>
          <w:szCs w:val="20"/>
        </w:rPr>
        <w:t>ochran</w:t>
      </w:r>
      <w:r w:rsidR="0006682F">
        <w:rPr>
          <w:sz w:val="20"/>
          <w:szCs w:val="20"/>
        </w:rPr>
        <w:t>a</w:t>
      </w:r>
      <w:r w:rsidR="00FF5D30" w:rsidRPr="0032656F">
        <w:rPr>
          <w:sz w:val="20"/>
          <w:szCs w:val="20"/>
        </w:rPr>
        <w:t xml:space="preserve"> životního prostředí</w:t>
      </w:r>
      <w:r w:rsidR="003E0870">
        <w:rPr>
          <w:sz w:val="20"/>
          <w:szCs w:val="20"/>
        </w:rPr>
        <w:t xml:space="preserve">, </w:t>
      </w:r>
      <w:r w:rsidR="0006682F">
        <w:rPr>
          <w:sz w:val="20"/>
          <w:szCs w:val="20"/>
        </w:rPr>
        <w:t xml:space="preserve">telekomunikace, zdravotnictví, finanční trh </w:t>
      </w:r>
      <w:r w:rsidR="00FF5D30" w:rsidRPr="0032656F">
        <w:rPr>
          <w:sz w:val="20"/>
          <w:szCs w:val="20"/>
        </w:rPr>
        <w:t>apod.).</w:t>
      </w:r>
    </w:p>
    <w:p w:rsidR="00034501" w:rsidRPr="002B3746" w:rsidRDefault="00034501" w:rsidP="00B40524">
      <w:pPr>
        <w:tabs>
          <w:tab w:val="left" w:pos="567"/>
        </w:tabs>
        <w:spacing w:after="0" w:line="240" w:lineRule="auto"/>
        <w:contextualSpacing/>
        <w:jc w:val="both"/>
      </w:pPr>
    </w:p>
    <w:p w:rsidR="00B40524" w:rsidRDefault="00B40524" w:rsidP="00B40524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</w:p>
    <w:p w:rsidR="00B40524" w:rsidRDefault="00B40524" w:rsidP="00B40524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</w:p>
    <w:p w:rsidR="00B40524" w:rsidRDefault="00B40524" w:rsidP="00B40524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</w:p>
    <w:p w:rsidR="0048475A" w:rsidRPr="00645090" w:rsidRDefault="00645090" w:rsidP="00B40524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  <w:r w:rsidRPr="00645090">
        <w:t xml:space="preserve">V Praze dne </w:t>
      </w:r>
      <w:r>
        <w:t>4.</w:t>
      </w:r>
      <w:r w:rsidR="00B40524">
        <w:t xml:space="preserve"> </w:t>
      </w:r>
      <w:r>
        <w:t>4.2019</w:t>
      </w:r>
    </w:p>
    <w:sectPr w:rsidR="0048475A" w:rsidRPr="00645090" w:rsidSect="00B40524">
      <w:footerReference w:type="default" r:id="rId7"/>
      <w:headerReference w:type="first" r:id="rId8"/>
      <w:footerReference w:type="first" r:id="rId9"/>
      <w:pgSz w:w="11906" w:h="16838"/>
      <w:pgMar w:top="709" w:right="1418" w:bottom="992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A0" w:rsidRDefault="002841A0" w:rsidP="00645090">
      <w:pPr>
        <w:spacing w:after="0" w:line="240" w:lineRule="auto"/>
      </w:pPr>
      <w:r>
        <w:separator/>
      </w:r>
    </w:p>
  </w:endnote>
  <w:endnote w:type="continuationSeparator" w:id="0">
    <w:p w:rsidR="002841A0" w:rsidRDefault="002841A0" w:rsidP="0064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90" w:rsidRDefault="00A36C8F">
    <w:pPr>
      <w:pStyle w:val="Zpat"/>
      <w:jc w:val="center"/>
    </w:pPr>
    <w:sdt>
      <w:sdtPr>
        <w:id w:val="92553818"/>
        <w:docPartObj>
          <w:docPartGallery w:val="Page Numbers (Bottom of Page)"/>
          <w:docPartUnique/>
        </w:docPartObj>
      </w:sdtPr>
      <w:sdtContent>
        <w:fldSimple w:instr=" PAGE   \* MERGEFORMAT ">
          <w:r w:rsidR="00B40524">
            <w:rPr>
              <w:noProof/>
            </w:rPr>
            <w:t>2</w:t>
          </w:r>
        </w:fldSimple>
      </w:sdtContent>
    </w:sdt>
  </w:p>
  <w:p w:rsidR="00645090" w:rsidRDefault="006450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24" w:rsidRPr="009C2AC1" w:rsidRDefault="00B40524" w:rsidP="00B40524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B40524" w:rsidRPr="009C2AC1" w:rsidRDefault="00B40524" w:rsidP="00B40524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B40524" w:rsidRDefault="00B40524" w:rsidP="00B40524">
    <w:pPr>
      <w:pStyle w:val="Zpat"/>
      <w:spacing w:line="276" w:lineRule="auto"/>
      <w:jc w:val="center"/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A0" w:rsidRDefault="002841A0" w:rsidP="00645090">
      <w:pPr>
        <w:spacing w:after="0" w:line="240" w:lineRule="auto"/>
      </w:pPr>
      <w:r>
        <w:separator/>
      </w:r>
    </w:p>
  </w:footnote>
  <w:footnote w:type="continuationSeparator" w:id="0">
    <w:p w:rsidR="002841A0" w:rsidRDefault="002841A0" w:rsidP="0064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24" w:rsidRDefault="00B40524" w:rsidP="00B40524">
    <w:pPr>
      <w:pStyle w:val="Zhlav"/>
      <w:jc w:val="center"/>
    </w:pPr>
    <w:r w:rsidRPr="00B40524">
      <w:drawing>
        <wp:inline distT="0" distB="0" distL="0" distR="0">
          <wp:extent cx="3084195" cy="805180"/>
          <wp:effectExtent l="19050" t="0" r="1905" b="0"/>
          <wp:docPr id="3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34501"/>
    <w:rsid w:val="0006682F"/>
    <w:rsid w:val="00085B92"/>
    <w:rsid w:val="000935C7"/>
    <w:rsid w:val="000B5F11"/>
    <w:rsid w:val="00102933"/>
    <w:rsid w:val="00114FD2"/>
    <w:rsid w:val="00193D68"/>
    <w:rsid w:val="001B5C83"/>
    <w:rsid w:val="001E276E"/>
    <w:rsid w:val="001F4636"/>
    <w:rsid w:val="00241F59"/>
    <w:rsid w:val="002515A5"/>
    <w:rsid w:val="00263AFD"/>
    <w:rsid w:val="00276473"/>
    <w:rsid w:val="002841A0"/>
    <w:rsid w:val="002B3746"/>
    <w:rsid w:val="002F221B"/>
    <w:rsid w:val="002F2828"/>
    <w:rsid w:val="002F792F"/>
    <w:rsid w:val="00302F26"/>
    <w:rsid w:val="0032279B"/>
    <w:rsid w:val="00324F39"/>
    <w:rsid w:val="0032656F"/>
    <w:rsid w:val="00376877"/>
    <w:rsid w:val="00381EA0"/>
    <w:rsid w:val="00383044"/>
    <w:rsid w:val="00385822"/>
    <w:rsid w:val="003A2D75"/>
    <w:rsid w:val="003D2DAA"/>
    <w:rsid w:val="003D4020"/>
    <w:rsid w:val="003D4660"/>
    <w:rsid w:val="003D54AD"/>
    <w:rsid w:val="003E0870"/>
    <w:rsid w:val="003E26AC"/>
    <w:rsid w:val="00402E21"/>
    <w:rsid w:val="00412DF8"/>
    <w:rsid w:val="004238B4"/>
    <w:rsid w:val="004325EC"/>
    <w:rsid w:val="0048475A"/>
    <w:rsid w:val="00493533"/>
    <w:rsid w:val="004D5CCD"/>
    <w:rsid w:val="00503560"/>
    <w:rsid w:val="00535CAD"/>
    <w:rsid w:val="00552556"/>
    <w:rsid w:val="005664DD"/>
    <w:rsid w:val="00595359"/>
    <w:rsid w:val="005B0307"/>
    <w:rsid w:val="005B1309"/>
    <w:rsid w:val="005C70D0"/>
    <w:rsid w:val="006241B7"/>
    <w:rsid w:val="00645090"/>
    <w:rsid w:val="00663593"/>
    <w:rsid w:val="00674FEE"/>
    <w:rsid w:val="00691289"/>
    <w:rsid w:val="006C7CE9"/>
    <w:rsid w:val="006E3A8F"/>
    <w:rsid w:val="006F6D04"/>
    <w:rsid w:val="007069C5"/>
    <w:rsid w:val="00745CBD"/>
    <w:rsid w:val="007601FA"/>
    <w:rsid w:val="0077211F"/>
    <w:rsid w:val="0078571A"/>
    <w:rsid w:val="007C20B4"/>
    <w:rsid w:val="007C2B5A"/>
    <w:rsid w:val="007E24EE"/>
    <w:rsid w:val="007E58AF"/>
    <w:rsid w:val="0081645A"/>
    <w:rsid w:val="008274BA"/>
    <w:rsid w:val="00837558"/>
    <w:rsid w:val="00844545"/>
    <w:rsid w:val="0085074D"/>
    <w:rsid w:val="00867D97"/>
    <w:rsid w:val="00873A04"/>
    <w:rsid w:val="00882E95"/>
    <w:rsid w:val="008A52AE"/>
    <w:rsid w:val="008D27E7"/>
    <w:rsid w:val="008E140E"/>
    <w:rsid w:val="008F1D8D"/>
    <w:rsid w:val="00934F0B"/>
    <w:rsid w:val="00950081"/>
    <w:rsid w:val="00964ACB"/>
    <w:rsid w:val="009827F1"/>
    <w:rsid w:val="009A08CE"/>
    <w:rsid w:val="009B244B"/>
    <w:rsid w:val="009B3460"/>
    <w:rsid w:val="009C28C1"/>
    <w:rsid w:val="00A0284F"/>
    <w:rsid w:val="00A159D7"/>
    <w:rsid w:val="00A36C8F"/>
    <w:rsid w:val="00A45A4F"/>
    <w:rsid w:val="00AC3D97"/>
    <w:rsid w:val="00AC6BB7"/>
    <w:rsid w:val="00AD4F46"/>
    <w:rsid w:val="00B060DC"/>
    <w:rsid w:val="00B35A20"/>
    <w:rsid w:val="00B40524"/>
    <w:rsid w:val="00B40EC9"/>
    <w:rsid w:val="00B5769D"/>
    <w:rsid w:val="00B74108"/>
    <w:rsid w:val="00BA05C8"/>
    <w:rsid w:val="00BA398E"/>
    <w:rsid w:val="00BC4F1C"/>
    <w:rsid w:val="00BF710E"/>
    <w:rsid w:val="00C002C0"/>
    <w:rsid w:val="00C16795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710D4"/>
    <w:rsid w:val="00E83FCF"/>
    <w:rsid w:val="00EA46ED"/>
    <w:rsid w:val="00EB0B12"/>
    <w:rsid w:val="00EB5907"/>
    <w:rsid w:val="00EE4F03"/>
    <w:rsid w:val="00F1590F"/>
    <w:rsid w:val="00F44383"/>
    <w:rsid w:val="00F44BB4"/>
    <w:rsid w:val="00FC641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2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2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4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4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64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5090"/>
  </w:style>
  <w:style w:type="paragraph" w:styleId="Zpat">
    <w:name w:val="footer"/>
    <w:basedOn w:val="Normln"/>
    <w:link w:val="ZpatChar"/>
    <w:unhideWhenUsed/>
    <w:rsid w:val="0064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45090"/>
  </w:style>
  <w:style w:type="character" w:styleId="Hypertextovodkaz">
    <w:name w:val="Hyperlink"/>
    <w:rsid w:val="00B40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TP</cp:lastModifiedBy>
  <cp:revision>6</cp:revision>
  <dcterms:created xsi:type="dcterms:W3CDTF">2019-04-05T09:39:00Z</dcterms:created>
  <dcterms:modified xsi:type="dcterms:W3CDTF">2019-11-14T15:06:00Z</dcterms:modified>
</cp:coreProperties>
</file>