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CD" w:rsidRDefault="007F05CD"/>
    <w:p w:rsidR="007F05CD" w:rsidRDefault="007F05CD" w:rsidP="007F05CD">
      <w:pPr>
        <w:jc w:val="center"/>
        <w:rPr>
          <w:b/>
          <w:sz w:val="36"/>
          <w:szCs w:val="36"/>
        </w:rPr>
      </w:pPr>
      <w:r w:rsidRPr="007F05CD">
        <w:rPr>
          <w:b/>
          <w:sz w:val="36"/>
          <w:szCs w:val="36"/>
        </w:rPr>
        <w:t>Připomínky ČPS k Akčnímu plánu - Strategie regionálního rozvoje ČR 2019-2020</w:t>
      </w:r>
    </w:p>
    <w:p w:rsidR="00950081" w:rsidRPr="004B014F" w:rsidRDefault="00DC3EB8" w:rsidP="007F05CD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b/>
        </w:rPr>
      </w:pPr>
      <w:r w:rsidRPr="004B014F">
        <w:rPr>
          <w:b/>
        </w:rPr>
        <w:t xml:space="preserve">ZÁSADNÍ </w:t>
      </w:r>
      <w:r w:rsidR="004D5CCD" w:rsidRPr="004B014F">
        <w:rPr>
          <w:b/>
        </w:rPr>
        <w:t>KONKRÉTNÍ PŘIPOMÍNK</w:t>
      </w:r>
      <w:r w:rsidR="0032279B" w:rsidRPr="004B014F">
        <w:rPr>
          <w:b/>
        </w:rPr>
        <w:t>Y</w:t>
      </w:r>
    </w:p>
    <w:p w:rsidR="00E02E9C" w:rsidRPr="00F75308" w:rsidRDefault="00006CFE" w:rsidP="007F05CD">
      <w:pP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 xml:space="preserve">1. </w:t>
      </w:r>
      <w:r w:rsidR="00E02E9C" w:rsidRPr="00F75308">
        <w:rPr>
          <w:b/>
        </w:rPr>
        <w:t>Připomínka k</w:t>
      </w:r>
      <w:r w:rsidR="00C84C52">
        <w:rPr>
          <w:b/>
        </w:rPr>
        <w:t>e kapitole 1.4.2, odstavec první (str. 10</w:t>
      </w:r>
      <w:r w:rsidR="001F4636" w:rsidRPr="00F75308">
        <w:rPr>
          <w:b/>
        </w:rPr>
        <w:t>)</w:t>
      </w:r>
    </w:p>
    <w:p w:rsidR="003D1839" w:rsidRPr="00F75308" w:rsidRDefault="00C84C52" w:rsidP="007F05CD">
      <w:pPr>
        <w:tabs>
          <w:tab w:val="left" w:pos="567"/>
        </w:tabs>
        <w:spacing w:after="0" w:line="240" w:lineRule="auto"/>
        <w:jc w:val="both"/>
      </w:pPr>
      <w:r>
        <w:t>Navrhujeme vypustit text „</w:t>
      </w:r>
      <w:r w:rsidRPr="00AE003E">
        <w:t>modernizaci centrálního zásobování teplem, přes</w:t>
      </w:r>
      <w:r>
        <w:t>“, popř.</w:t>
      </w:r>
      <w:r w:rsidR="00276D47">
        <w:t>, pokud je to v daném materiálu nezbytné</w:t>
      </w:r>
      <w:r w:rsidR="0026155F">
        <w:t>,</w:t>
      </w:r>
      <w:r w:rsidR="00276D47">
        <w:t xml:space="preserve"> </w:t>
      </w:r>
      <w:r>
        <w:t>upravit na obecn</w:t>
      </w:r>
      <w:r w:rsidR="00276D47">
        <w:t>é konstatování (např.)</w:t>
      </w:r>
      <w:r>
        <w:t xml:space="preserve"> „modernizaci energetické infrastruktury</w:t>
      </w:r>
      <w:r w:rsidR="00276D47">
        <w:t xml:space="preserve"> pro </w:t>
      </w:r>
      <w:r w:rsidR="00276D47" w:rsidRPr="00276D47">
        <w:t>zajištění spolehlivých, bezpečných a k životnímu prostředí šetrných dodávek energie za konkurenceschopné a přijatelné ceny</w:t>
      </w:r>
      <w:r w:rsidR="0026155F">
        <w:t>*</w:t>
      </w:r>
      <w:r w:rsidR="00276D47" w:rsidRPr="00276D47">
        <w:t>,</w:t>
      </w:r>
      <w:r w:rsidR="00276D47">
        <w:t xml:space="preserve"> </w:t>
      </w:r>
      <w:proofErr w:type="gramStart"/>
      <w:r>
        <w:t>přes</w:t>
      </w:r>
      <w:proofErr w:type="gramEnd"/>
      <w:r>
        <w:t>“.</w:t>
      </w:r>
    </w:p>
    <w:p w:rsidR="003D1839" w:rsidRPr="00F75308" w:rsidRDefault="003D1839" w:rsidP="007F05CD">
      <w:pPr>
        <w:tabs>
          <w:tab w:val="left" w:pos="567"/>
        </w:tabs>
        <w:spacing w:after="0" w:line="240" w:lineRule="auto"/>
        <w:jc w:val="both"/>
      </w:pPr>
    </w:p>
    <w:p w:rsidR="00276D47" w:rsidRDefault="00E02E9C" w:rsidP="007F05CD">
      <w:pPr>
        <w:tabs>
          <w:tab w:val="left" w:pos="567"/>
        </w:tabs>
        <w:spacing w:after="0" w:line="240" w:lineRule="auto"/>
        <w:jc w:val="both"/>
        <w:rPr>
          <w:b/>
        </w:rPr>
      </w:pPr>
      <w:r w:rsidRPr="00F75308">
        <w:rPr>
          <w:b/>
        </w:rPr>
        <w:t xml:space="preserve">Odůvodnění: </w:t>
      </w:r>
    </w:p>
    <w:p w:rsidR="00276D47" w:rsidRPr="00276D47" w:rsidRDefault="00276D47" w:rsidP="007F05CD">
      <w:pPr>
        <w:tabs>
          <w:tab w:val="left" w:pos="567"/>
        </w:tabs>
        <w:spacing w:after="0" w:line="240" w:lineRule="auto"/>
        <w:jc w:val="both"/>
      </w:pPr>
      <w:r w:rsidRPr="00276D47">
        <w:t xml:space="preserve">Přestože se opatření nazývá </w:t>
      </w:r>
      <w:r w:rsidRPr="003E4DE7">
        <w:rPr>
          <w:i/>
        </w:rPr>
        <w:t>1.4 Rozšíření a zkvalitnění infrastruktury</w:t>
      </w:r>
      <w:r>
        <w:t xml:space="preserve"> z kontextu </w:t>
      </w:r>
      <w:r w:rsidRPr="003E4DE7">
        <w:rPr>
          <w:i/>
        </w:rPr>
        <w:t>Prioritní oblast Regionální konkurenceschopnost, Priorita 1 Využití potenciálu rozvojových území, Cíl: Posílit rozvojová území jako dynamické póly růstu s odpovídající infrastrukturou pro lokalizaci progresivních ekonomických činností založených na inovacích, výzkumu a vývoji a efektivním využívání lidského potenciálu</w:t>
      </w:r>
      <w:r w:rsidR="003E4DE7">
        <w:t xml:space="preserve">** </w:t>
      </w:r>
      <w:r>
        <w:t>je zřejmé, že se jedná o infrastrukturu v širším pojetí</w:t>
      </w:r>
      <w:r w:rsidR="003E4DE7">
        <w:t>,</w:t>
      </w:r>
      <w:r>
        <w:t xml:space="preserve"> s cílem obecného zatraktivnění oblasti z pohledu podpory a rozvoje podnikání.</w:t>
      </w:r>
    </w:p>
    <w:p w:rsidR="00276D47" w:rsidRDefault="00276D47" w:rsidP="007F05CD">
      <w:pPr>
        <w:tabs>
          <w:tab w:val="left" w:pos="567"/>
        </w:tabs>
        <w:spacing w:after="0" w:line="240" w:lineRule="auto"/>
        <w:jc w:val="both"/>
      </w:pPr>
      <w:r>
        <w:t xml:space="preserve">Z tohoto pohledu považujeme </w:t>
      </w:r>
      <w:r w:rsidR="001B4D1D">
        <w:t xml:space="preserve">za oprávněnou </w:t>
      </w:r>
      <w:r>
        <w:t>podpor</w:t>
      </w:r>
      <w:r w:rsidR="001B4D1D">
        <w:t>u</w:t>
      </w:r>
      <w:r>
        <w:t xml:space="preserve"> výstavby veřejné infrastruktury, která v dané oblasti</w:t>
      </w:r>
      <w:r w:rsidR="001B4D1D">
        <w:t>, z historických důvodů, není nebo je vzhledem k enormnímu rozvoji nedostatečná a je prospěšná pro celý region.</w:t>
      </w:r>
    </w:p>
    <w:p w:rsidR="004E6D8E" w:rsidRDefault="001B4D1D" w:rsidP="007F05CD">
      <w:pPr>
        <w:tabs>
          <w:tab w:val="left" w:pos="567"/>
        </w:tabs>
        <w:spacing w:after="0" w:line="240" w:lineRule="auto"/>
        <w:jc w:val="both"/>
      </w:pPr>
      <w:r>
        <w:t xml:space="preserve">Systémy </w:t>
      </w:r>
      <w:proofErr w:type="spellStart"/>
      <w:r>
        <w:t>CZT</w:t>
      </w:r>
      <w:proofErr w:type="spellEnd"/>
      <w:r>
        <w:t xml:space="preserve"> jsou pouze jedním ze způsobů zajištění dodávek (</w:t>
      </w:r>
      <w:r w:rsidR="0026155F">
        <w:t xml:space="preserve">a to pouze </w:t>
      </w:r>
      <w:r>
        <w:t>tepelné) energie</w:t>
      </w:r>
      <w:r w:rsidR="004E6D8E">
        <w:t xml:space="preserve">. </w:t>
      </w:r>
      <w:r w:rsidR="0026155F">
        <w:t xml:space="preserve">Podporu </w:t>
      </w:r>
      <w:r w:rsidR="004E6D8E">
        <w:t xml:space="preserve">pouze tohoto jediného způsobu </w:t>
      </w:r>
      <w:r w:rsidR="0026155F">
        <w:t xml:space="preserve">lze </w:t>
      </w:r>
      <w:r w:rsidR="004E6D8E">
        <w:t>považ</w:t>
      </w:r>
      <w:r w:rsidR="0026155F">
        <w:t>ovat za diskriminační.</w:t>
      </w:r>
    </w:p>
    <w:p w:rsidR="004E6D8E" w:rsidRDefault="004E6D8E" w:rsidP="007F05CD">
      <w:pPr>
        <w:tabs>
          <w:tab w:val="left" w:pos="567"/>
        </w:tabs>
        <w:spacing w:after="0" w:line="240" w:lineRule="auto"/>
        <w:jc w:val="both"/>
      </w:pPr>
      <w:r>
        <w:t xml:space="preserve">Provozování systémů </w:t>
      </w:r>
      <w:proofErr w:type="spellStart"/>
      <w:r>
        <w:t>CZT</w:t>
      </w:r>
      <w:proofErr w:type="spellEnd"/>
      <w:r>
        <w:t xml:space="preserve"> je standardní podnikatelská aktivita s pevně danými pravidly </w:t>
      </w:r>
      <w:r w:rsidR="0026155F">
        <w:t>(</w:t>
      </w:r>
      <w:r>
        <w:t>energetický zákon</w:t>
      </w:r>
      <w:r w:rsidR="0026155F">
        <w:t>)</w:t>
      </w:r>
      <w:r>
        <w:t xml:space="preserve">. </w:t>
      </w:r>
      <w:r w:rsidRPr="00276D47">
        <w:t>Přirozen</w:t>
      </w:r>
      <w:r>
        <w:t>á</w:t>
      </w:r>
      <w:r w:rsidRPr="00276D47">
        <w:t xml:space="preserve"> obnov</w:t>
      </w:r>
      <w:r>
        <w:t xml:space="preserve">a a rozvoj </w:t>
      </w:r>
      <w:r w:rsidR="0026155F">
        <w:t xml:space="preserve">výrobních prostředků </w:t>
      </w:r>
      <w:r>
        <w:t>b</w:t>
      </w:r>
      <w:r w:rsidRPr="00276D47">
        <w:t xml:space="preserve">y </w:t>
      </w:r>
      <w:r>
        <w:t xml:space="preserve">tak </w:t>
      </w:r>
      <w:r w:rsidRPr="00276D47">
        <w:t>měl</w:t>
      </w:r>
      <w:r w:rsidR="0026155F">
        <w:t>y</w:t>
      </w:r>
      <w:r w:rsidRPr="00276D47">
        <w:t xml:space="preserve"> </w:t>
      </w:r>
      <w:r>
        <w:t xml:space="preserve">být </w:t>
      </w:r>
      <w:r w:rsidRPr="00276D47">
        <w:t>zaji</w:t>
      </w:r>
      <w:r w:rsidR="0026155F">
        <w:t xml:space="preserve">štěny </w:t>
      </w:r>
      <w:r w:rsidRPr="00276D47">
        <w:t>v</w:t>
      </w:r>
      <w:r w:rsidR="0026155F">
        <w:t> </w:t>
      </w:r>
      <w:r w:rsidRPr="00276D47">
        <w:t xml:space="preserve">rámci </w:t>
      </w:r>
      <w:r w:rsidR="0026155F">
        <w:t xml:space="preserve">běžného </w:t>
      </w:r>
      <w:r w:rsidRPr="00276D47">
        <w:t>fungování</w:t>
      </w:r>
      <w:r w:rsidR="0026155F">
        <w:t xml:space="preserve">, stejně </w:t>
      </w:r>
      <w:r w:rsidRPr="00276D47">
        <w:t xml:space="preserve">jako </w:t>
      </w:r>
      <w:r w:rsidR="0026155F">
        <w:t xml:space="preserve">v případě jakéhokoliv </w:t>
      </w:r>
      <w:r w:rsidRPr="00276D47">
        <w:t>jin</w:t>
      </w:r>
      <w:r w:rsidR="0026155F">
        <w:t xml:space="preserve">ého podnikatelského </w:t>
      </w:r>
      <w:r w:rsidRPr="00276D47">
        <w:t>subjekt</w:t>
      </w:r>
      <w:r w:rsidR="0026155F">
        <w:t>u</w:t>
      </w:r>
      <w:r w:rsidRPr="00276D47">
        <w:t>.</w:t>
      </w:r>
    </w:p>
    <w:p w:rsidR="004E6D8E" w:rsidRDefault="004E6D8E" w:rsidP="007F05CD">
      <w:pPr>
        <w:tabs>
          <w:tab w:val="left" w:pos="567"/>
        </w:tabs>
        <w:spacing w:after="0" w:line="240" w:lineRule="auto"/>
        <w:jc w:val="both"/>
      </w:pPr>
      <w:r>
        <w:t xml:space="preserve">Příspěvek </w:t>
      </w:r>
      <w:r w:rsidR="0026155F">
        <w:t xml:space="preserve">modernizace </w:t>
      </w:r>
      <w:r>
        <w:t xml:space="preserve">systémů </w:t>
      </w:r>
      <w:proofErr w:type="spellStart"/>
      <w:r>
        <w:t>CZT</w:t>
      </w:r>
      <w:proofErr w:type="spellEnd"/>
      <w:r>
        <w:t xml:space="preserve"> k naplnění cíle (viz výše) je </w:t>
      </w:r>
      <w:r w:rsidR="0026155F">
        <w:t>okrajový, spíše neutrální.</w:t>
      </w:r>
    </w:p>
    <w:p w:rsidR="0026155F" w:rsidRDefault="0026155F" w:rsidP="007F05CD">
      <w:pPr>
        <w:tabs>
          <w:tab w:val="left" w:pos="567"/>
        </w:tabs>
        <w:spacing w:after="0" w:line="240" w:lineRule="auto"/>
        <w:jc w:val="both"/>
      </w:pPr>
    </w:p>
    <w:p w:rsidR="0026155F" w:rsidRDefault="0026155F" w:rsidP="007F05CD">
      <w:pPr>
        <w:tabs>
          <w:tab w:val="left" w:pos="567"/>
        </w:tabs>
        <w:spacing w:after="0" w:line="240" w:lineRule="auto"/>
        <w:jc w:val="both"/>
      </w:pPr>
      <w:r>
        <w:t>* Státní energetická koncepce ČR 2015</w:t>
      </w:r>
    </w:p>
    <w:p w:rsidR="003E4DE7" w:rsidRDefault="003E4DE7" w:rsidP="007F05CD">
      <w:pPr>
        <w:tabs>
          <w:tab w:val="left" w:pos="567"/>
        </w:tabs>
        <w:spacing w:after="0" w:line="240" w:lineRule="auto"/>
        <w:jc w:val="both"/>
      </w:pPr>
      <w:r>
        <w:t>** Strategie regionálního rozvoje ČR 2014 - 2020</w:t>
      </w:r>
    </w:p>
    <w:p w:rsidR="00804265" w:rsidRPr="00804265" w:rsidRDefault="00804265" w:rsidP="007F05CD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4B014F" w:rsidRPr="00F75308" w:rsidRDefault="00006CFE" w:rsidP="007F05CD">
      <w:pP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 xml:space="preserve">2. </w:t>
      </w:r>
      <w:r w:rsidR="004B014F" w:rsidRPr="00F75308">
        <w:rPr>
          <w:b/>
        </w:rPr>
        <w:t>Připomínka k</w:t>
      </w:r>
      <w:r w:rsidR="008F4B45">
        <w:rPr>
          <w:b/>
        </w:rPr>
        <w:t>e kapitole 2.3.1, odstavec první</w:t>
      </w:r>
      <w:r w:rsidR="004B014F" w:rsidRPr="00F75308">
        <w:rPr>
          <w:b/>
        </w:rPr>
        <w:t xml:space="preserve"> (</w:t>
      </w:r>
      <w:r w:rsidR="008F4B45">
        <w:rPr>
          <w:b/>
        </w:rPr>
        <w:t>str. 18</w:t>
      </w:r>
      <w:r w:rsidR="004B014F" w:rsidRPr="00F75308">
        <w:rPr>
          <w:b/>
        </w:rPr>
        <w:t>)</w:t>
      </w:r>
    </w:p>
    <w:p w:rsidR="004B014F" w:rsidRDefault="008F4B45" w:rsidP="007F05CD">
      <w:pPr>
        <w:tabs>
          <w:tab w:val="left" w:pos="567"/>
        </w:tabs>
        <w:spacing w:after="0" w:line="240" w:lineRule="auto"/>
        <w:jc w:val="both"/>
      </w:pPr>
      <w:r>
        <w:t>Navrhujeme znění odstavce upravit následovně:</w:t>
      </w:r>
    </w:p>
    <w:p w:rsidR="004B014F" w:rsidRPr="00F75308" w:rsidRDefault="004B014F" w:rsidP="007F05CD">
      <w:pPr>
        <w:tabs>
          <w:tab w:val="left" w:pos="567"/>
        </w:tabs>
        <w:spacing w:after="0" w:line="240" w:lineRule="auto"/>
        <w:jc w:val="both"/>
      </w:pPr>
    </w:p>
    <w:p w:rsidR="004B014F" w:rsidRPr="00F75308" w:rsidRDefault="004B23DA" w:rsidP="007F05CD">
      <w:pP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Úplné zněn</w:t>
      </w:r>
      <w:r w:rsidR="004B014F" w:rsidRPr="00F75308">
        <w:rPr>
          <w:b/>
        </w:rPr>
        <w:t>í:</w:t>
      </w:r>
    </w:p>
    <w:p w:rsidR="008F4B45" w:rsidRDefault="008F4B45" w:rsidP="007F05CD">
      <w:pPr>
        <w:tabs>
          <w:tab w:val="left" w:pos="567"/>
        </w:tabs>
        <w:spacing w:after="0" w:line="240" w:lineRule="auto"/>
        <w:jc w:val="both"/>
      </w:pPr>
      <w:r>
        <w:t xml:space="preserve">Stabilní provoz </w:t>
      </w:r>
      <w:r w:rsidRPr="008F4B45">
        <w:rPr>
          <w:strike/>
        </w:rPr>
        <w:t>přenosové</w:t>
      </w:r>
      <w:r>
        <w:t xml:space="preserve"> </w:t>
      </w:r>
      <w:proofErr w:type="gramStart"/>
      <w:r w:rsidRPr="008F4B45">
        <w:rPr>
          <w:b/>
        </w:rPr>
        <w:t>energetických</w:t>
      </w:r>
      <w:proofErr w:type="gramEnd"/>
      <w:r>
        <w:t xml:space="preserve"> soustav</w:t>
      </w:r>
      <w:r w:rsidRPr="008F4B45">
        <w:rPr>
          <w:strike/>
        </w:rPr>
        <w:t>y</w:t>
      </w:r>
      <w:r>
        <w:t xml:space="preserve"> </w:t>
      </w:r>
      <w:r w:rsidRPr="008F4B45">
        <w:rPr>
          <w:strike/>
        </w:rPr>
        <w:t>si</w:t>
      </w:r>
      <w:r>
        <w:t xml:space="preserve"> vyžaduje neustálé investice do jejich modernizace a zvyšování bezpečnosti </w:t>
      </w:r>
      <w:r w:rsidRPr="008F4B45">
        <w:rPr>
          <w:strike/>
        </w:rPr>
        <w:t>potřebných energetických sítí</w:t>
      </w:r>
      <w:r>
        <w:t xml:space="preserve">. Aktivita bude z velké části naplňována prostřednictvím intervencí, jež by měly vést ke zlepšení kvality, bezpečnosti a udržitelnosti dodávek </w:t>
      </w:r>
      <w:r w:rsidRPr="008F4B45">
        <w:rPr>
          <w:strike/>
        </w:rPr>
        <w:t>elektřiny</w:t>
      </w:r>
      <w:r>
        <w:t xml:space="preserve"> </w:t>
      </w:r>
      <w:r w:rsidRPr="008F4B45">
        <w:rPr>
          <w:b/>
        </w:rPr>
        <w:t>energie</w:t>
      </w:r>
      <w:r>
        <w:t xml:space="preserve"> a být impulsem pro rozvoj průmyslu, podnikání a celé české ekonomiky. Aktivita bude naplňována prostřednictvím úkolů stanovených v </w:t>
      </w:r>
      <w:proofErr w:type="spellStart"/>
      <w:r>
        <w:t>PÚR</w:t>
      </w:r>
      <w:proofErr w:type="spellEnd"/>
      <w:r>
        <w:t xml:space="preserve"> ČR. Aktivity budou naplňovat úkoly týkající se propojování evropských sítí stanovené v </w:t>
      </w:r>
      <w:proofErr w:type="spellStart"/>
      <w:r>
        <w:t>PÚR</w:t>
      </w:r>
      <w:proofErr w:type="spellEnd"/>
      <w:r>
        <w:t xml:space="preserve"> ČR a ve Státní energetické koncepci schválené v roce 2015. Jedná se o </w:t>
      </w:r>
      <w:r w:rsidRPr="008F4B45">
        <w:rPr>
          <w:strike/>
        </w:rPr>
        <w:t>napojení</w:t>
      </w:r>
      <w:r>
        <w:t xml:space="preserve"> </w:t>
      </w:r>
      <w:proofErr w:type="spellStart"/>
      <w:r>
        <w:t>sít</w:t>
      </w:r>
      <w:r w:rsidRPr="008F4B45">
        <w:rPr>
          <w:strike/>
        </w:rPr>
        <w:t>í</w:t>
      </w:r>
      <w:r>
        <w:t>ě</w:t>
      </w:r>
      <w:proofErr w:type="spellEnd"/>
      <w:r>
        <w:t xml:space="preserve"> v oblasti </w:t>
      </w:r>
      <w:proofErr w:type="spellStart"/>
      <w:r>
        <w:t>elektro</w:t>
      </w:r>
      <w:proofErr w:type="spellEnd"/>
      <w:r>
        <w:t xml:space="preserve">-energetiky, plynárenství a dálkovodů (ropovody a jiné </w:t>
      </w:r>
      <w:proofErr w:type="spellStart"/>
      <w:r>
        <w:t>produktovody</w:t>
      </w:r>
      <w:proofErr w:type="spellEnd"/>
      <w:r>
        <w:t>).</w:t>
      </w:r>
    </w:p>
    <w:p w:rsidR="008F4B45" w:rsidRDefault="008F4B45" w:rsidP="007F05CD">
      <w:pPr>
        <w:tabs>
          <w:tab w:val="left" w:pos="567"/>
        </w:tabs>
        <w:spacing w:after="0" w:line="240" w:lineRule="auto"/>
        <w:jc w:val="both"/>
      </w:pPr>
    </w:p>
    <w:p w:rsidR="008F4B45" w:rsidRDefault="008F4B45" w:rsidP="007F05CD">
      <w:pP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O</w:t>
      </w:r>
      <w:r w:rsidR="004B014F" w:rsidRPr="00F75308">
        <w:rPr>
          <w:b/>
        </w:rPr>
        <w:t xml:space="preserve">důvodnění: </w:t>
      </w:r>
    </w:p>
    <w:p w:rsidR="004B014F" w:rsidRPr="00046D93" w:rsidRDefault="00046D93" w:rsidP="007F05CD">
      <w:pPr>
        <w:tabs>
          <w:tab w:val="left" w:pos="567"/>
        </w:tabs>
        <w:spacing w:after="0" w:line="240" w:lineRule="auto"/>
        <w:jc w:val="both"/>
      </w:pPr>
      <w:r>
        <w:t>T</w:t>
      </w:r>
      <w:r w:rsidRPr="00046D93">
        <w:t xml:space="preserve">extace </w:t>
      </w:r>
      <w:r>
        <w:t xml:space="preserve">se </w:t>
      </w:r>
      <w:r w:rsidRPr="00046D93">
        <w:t>omez</w:t>
      </w:r>
      <w:r>
        <w:t xml:space="preserve">uje </w:t>
      </w:r>
      <w:r w:rsidRPr="00046D93">
        <w:t>pouze na oblast elektroenergetiky a v celkovém kontextu je matoucí.</w:t>
      </w:r>
      <w:r>
        <w:t xml:space="preserve"> V materiálu absentují plynárenské </w:t>
      </w:r>
      <w:r w:rsidRPr="00046D93">
        <w:t>projekt</w:t>
      </w:r>
      <w:r>
        <w:t>y</w:t>
      </w:r>
      <w:r w:rsidRPr="00046D93">
        <w:t xml:space="preserve"> (zařazen</w:t>
      </w:r>
      <w:r>
        <w:t>é</w:t>
      </w:r>
      <w:r w:rsidRPr="00046D93">
        <w:t xml:space="preserve"> do TEN-E)</w:t>
      </w:r>
      <w:r>
        <w:t xml:space="preserve">, popř. </w:t>
      </w:r>
      <w:r w:rsidRPr="00046D93">
        <w:t>dálkovodů</w:t>
      </w:r>
      <w:r>
        <w:t>.</w:t>
      </w:r>
    </w:p>
    <w:p w:rsidR="00AE003E" w:rsidRPr="00804265" w:rsidRDefault="00AE003E" w:rsidP="007F05CD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AE003E" w:rsidRPr="00F75308" w:rsidRDefault="00006CFE" w:rsidP="007F05CD">
      <w:pP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3. </w:t>
      </w:r>
      <w:r w:rsidR="00AE003E" w:rsidRPr="00F75308">
        <w:rPr>
          <w:b/>
        </w:rPr>
        <w:t>Připomínka k</w:t>
      </w:r>
      <w:r w:rsidR="00AE003E">
        <w:rPr>
          <w:b/>
        </w:rPr>
        <w:t>e kapitole 2.3.2, odstavec první</w:t>
      </w:r>
      <w:r w:rsidR="00AE003E" w:rsidRPr="00F75308">
        <w:rPr>
          <w:b/>
        </w:rPr>
        <w:t xml:space="preserve"> (</w:t>
      </w:r>
      <w:r w:rsidR="00AE003E">
        <w:rPr>
          <w:b/>
        </w:rPr>
        <w:t>str. 19</w:t>
      </w:r>
      <w:r w:rsidR="00AE003E" w:rsidRPr="00F75308">
        <w:rPr>
          <w:b/>
        </w:rPr>
        <w:t>)</w:t>
      </w:r>
    </w:p>
    <w:p w:rsidR="00AE003E" w:rsidRDefault="00AE003E" w:rsidP="007F05CD">
      <w:pPr>
        <w:tabs>
          <w:tab w:val="left" w:pos="567"/>
        </w:tabs>
        <w:spacing w:after="0" w:line="240" w:lineRule="auto"/>
        <w:jc w:val="both"/>
      </w:pPr>
      <w:r>
        <w:t>Navrhujeme vypustit text</w:t>
      </w:r>
      <w:r w:rsidRPr="00AE003E">
        <w:t>: „, rekonstrukce a rozvoj systémů zásobování teplem“</w:t>
      </w:r>
      <w:r>
        <w:t>.</w:t>
      </w:r>
    </w:p>
    <w:p w:rsidR="00AE003E" w:rsidRDefault="00AE003E" w:rsidP="007F05CD">
      <w:pPr>
        <w:tabs>
          <w:tab w:val="left" w:pos="567"/>
        </w:tabs>
        <w:spacing w:after="0" w:line="240" w:lineRule="auto"/>
        <w:jc w:val="both"/>
      </w:pPr>
    </w:p>
    <w:p w:rsidR="00AE003E" w:rsidRDefault="00AE003E" w:rsidP="007F05CD">
      <w:pPr>
        <w:tabs>
          <w:tab w:val="left" w:pos="567"/>
        </w:tabs>
        <w:spacing w:after="0" w:line="240" w:lineRule="auto"/>
        <w:jc w:val="both"/>
      </w:pPr>
    </w:p>
    <w:p w:rsidR="00AE003E" w:rsidRDefault="00AE003E" w:rsidP="007F05CD">
      <w:pP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O</w:t>
      </w:r>
      <w:r w:rsidRPr="00F75308">
        <w:rPr>
          <w:b/>
        </w:rPr>
        <w:t xml:space="preserve">důvodnění: </w:t>
      </w:r>
    </w:p>
    <w:p w:rsidR="00AE003E" w:rsidRDefault="00AE003E" w:rsidP="007F05CD">
      <w:pPr>
        <w:tabs>
          <w:tab w:val="left" w:pos="567"/>
        </w:tabs>
        <w:spacing w:after="0" w:line="240" w:lineRule="auto"/>
        <w:jc w:val="both"/>
        <w:rPr>
          <w:i/>
        </w:rPr>
      </w:pPr>
      <w:r>
        <w:t xml:space="preserve">Není zřejmé, jaký </w:t>
      </w:r>
      <w:proofErr w:type="spellStart"/>
      <w:r>
        <w:t>n</w:t>
      </w:r>
      <w:r w:rsidR="00494886">
        <w:t>ad</w:t>
      </w:r>
      <w:r>
        <w:t>regionální</w:t>
      </w:r>
      <w:proofErr w:type="spellEnd"/>
      <w:r>
        <w:t xml:space="preserve"> význam mají systémy </w:t>
      </w:r>
      <w:proofErr w:type="spellStart"/>
      <w:r>
        <w:t>CZT</w:t>
      </w:r>
      <w:proofErr w:type="spellEnd"/>
      <w:r>
        <w:t xml:space="preserve"> a jaká je jejich vazba na TEN-E</w:t>
      </w:r>
      <w:r w:rsidR="00006CFE">
        <w:t>. (</w:t>
      </w:r>
      <w:r w:rsidRPr="00006CFE">
        <w:rPr>
          <w:i/>
        </w:rPr>
        <w:t xml:space="preserve">Priorita 2 Rozvoj klíčové infrastruktury </w:t>
      </w:r>
      <w:proofErr w:type="spellStart"/>
      <w:r w:rsidRPr="00006CFE">
        <w:rPr>
          <w:i/>
        </w:rPr>
        <w:t>nadregionálního</w:t>
      </w:r>
      <w:proofErr w:type="spellEnd"/>
      <w:r w:rsidRPr="00006CFE">
        <w:rPr>
          <w:i/>
        </w:rPr>
        <w:t xml:space="preserve"> významu</w:t>
      </w:r>
      <w:r>
        <w:t xml:space="preserve"> </w:t>
      </w:r>
      <w:r w:rsidR="00006CFE">
        <w:t xml:space="preserve">obsahuje opatření </w:t>
      </w:r>
      <w:r w:rsidR="00006CFE" w:rsidRPr="00006CFE">
        <w:rPr>
          <w:i/>
        </w:rPr>
        <w:t>2.3 Rozšíření a modernizace energetických sítí</w:t>
      </w:r>
      <w:r w:rsidR="00006CFE" w:rsidRPr="00006CFE">
        <w:t xml:space="preserve"> </w:t>
      </w:r>
      <w:r w:rsidR="00006CFE">
        <w:t xml:space="preserve">popsané jako </w:t>
      </w:r>
      <w:r w:rsidR="00006CFE" w:rsidRPr="00006CFE">
        <w:rPr>
          <w:i/>
        </w:rPr>
        <w:t>Opatření je zaměřeno na výstavbu a modernizaci energetických sítí (v návaznosti na TEN_E) a zajištění bezpečnosti dodávek energií, zkvalitnění napojení energetických sítí na evropské, aby docházelo k zajištění tří významných prvků – energetické nezávislosti, energetické bezpečnosti a energetické udržitelnosti.</w:t>
      </w:r>
    </w:p>
    <w:p w:rsidR="00006CFE" w:rsidRPr="00006CFE" w:rsidRDefault="00006CFE" w:rsidP="007F05CD">
      <w:pPr>
        <w:tabs>
          <w:tab w:val="left" w:pos="567"/>
        </w:tabs>
        <w:spacing w:after="0" w:line="240" w:lineRule="auto"/>
        <w:jc w:val="both"/>
      </w:pPr>
      <w:r w:rsidRPr="00006CFE">
        <w:t xml:space="preserve">K otázce odůvodnění podpory </w:t>
      </w:r>
      <w:r>
        <w:t xml:space="preserve">pro systémy </w:t>
      </w:r>
      <w:proofErr w:type="spellStart"/>
      <w:r>
        <w:t>CZT</w:t>
      </w:r>
      <w:proofErr w:type="spellEnd"/>
      <w:r>
        <w:t xml:space="preserve"> </w:t>
      </w:r>
      <w:r w:rsidRPr="00006CFE">
        <w:t xml:space="preserve">viz </w:t>
      </w:r>
      <w:r>
        <w:t xml:space="preserve">též </w:t>
      </w:r>
      <w:r w:rsidRPr="00006CFE">
        <w:t xml:space="preserve">připomínka č. </w:t>
      </w:r>
      <w:r>
        <w:t>1</w:t>
      </w:r>
      <w:r w:rsidRPr="00006CFE">
        <w:t>.</w:t>
      </w:r>
    </w:p>
    <w:p w:rsidR="00006CFE" w:rsidRPr="00804265" w:rsidRDefault="00006CFE" w:rsidP="007F05CD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006CFE" w:rsidRPr="00F75308" w:rsidRDefault="00006CFE" w:rsidP="007F05CD">
      <w:pP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 xml:space="preserve">4. </w:t>
      </w:r>
      <w:r w:rsidRPr="00F75308">
        <w:rPr>
          <w:b/>
        </w:rPr>
        <w:t>Připomínka k</w:t>
      </w:r>
      <w:r>
        <w:rPr>
          <w:b/>
        </w:rPr>
        <w:t>e kapitole 4.2.3, odstavec první</w:t>
      </w:r>
      <w:r w:rsidRPr="00F75308">
        <w:rPr>
          <w:b/>
        </w:rPr>
        <w:t xml:space="preserve"> (</w:t>
      </w:r>
      <w:r>
        <w:rPr>
          <w:b/>
        </w:rPr>
        <w:t>str. 29</w:t>
      </w:r>
      <w:r w:rsidRPr="00F75308">
        <w:rPr>
          <w:b/>
        </w:rPr>
        <w:t>)</w:t>
      </w:r>
    </w:p>
    <w:p w:rsidR="00006CFE" w:rsidRDefault="00006CFE" w:rsidP="007F05CD">
      <w:pPr>
        <w:tabs>
          <w:tab w:val="left" w:pos="567"/>
        </w:tabs>
        <w:spacing w:after="0" w:line="240" w:lineRule="auto"/>
        <w:jc w:val="both"/>
      </w:pPr>
      <w:r>
        <w:t>Navrhujeme vypustit text</w:t>
      </w:r>
      <w:r w:rsidRPr="00AE003E">
        <w:t>: „, rekonstrukc</w:t>
      </w:r>
      <w:r>
        <w:t>i</w:t>
      </w:r>
      <w:r w:rsidRPr="00AE003E">
        <w:t xml:space="preserve"> a rozvoj s</w:t>
      </w:r>
      <w:r>
        <w:t xml:space="preserve">oustav </w:t>
      </w:r>
      <w:r w:rsidRPr="00AE003E">
        <w:t>zásobování teplem“</w:t>
      </w:r>
      <w:r>
        <w:t>.</w:t>
      </w:r>
    </w:p>
    <w:p w:rsidR="00006CFE" w:rsidRDefault="00006CFE" w:rsidP="007F05CD">
      <w:pPr>
        <w:tabs>
          <w:tab w:val="left" w:pos="567"/>
        </w:tabs>
        <w:spacing w:after="0" w:line="240" w:lineRule="auto"/>
        <w:jc w:val="both"/>
      </w:pPr>
    </w:p>
    <w:p w:rsidR="00006CFE" w:rsidRDefault="00006CFE" w:rsidP="007F05CD">
      <w:pP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O</w:t>
      </w:r>
      <w:r w:rsidRPr="00F75308">
        <w:rPr>
          <w:b/>
        </w:rPr>
        <w:t xml:space="preserve">důvodnění: </w:t>
      </w:r>
    </w:p>
    <w:p w:rsidR="005312F1" w:rsidRDefault="00494886" w:rsidP="007F05CD">
      <w:pPr>
        <w:tabs>
          <w:tab w:val="left" w:pos="567"/>
        </w:tabs>
        <w:spacing w:after="0" w:line="240" w:lineRule="auto"/>
        <w:jc w:val="both"/>
      </w:pPr>
      <w:r>
        <w:t xml:space="preserve">Není zřejmé, jaký konkrétní přínos by měla rekonstrukce a rozvoj soustav zásobování teplem </w:t>
      </w:r>
      <w:r w:rsidR="00420DF9">
        <w:t xml:space="preserve">pro </w:t>
      </w:r>
      <w:r w:rsidRPr="00494886">
        <w:rPr>
          <w:i/>
        </w:rPr>
        <w:t>Prioritu 4 Vyvážený rozvoj stabilizovaných území</w:t>
      </w:r>
      <w:r>
        <w:t xml:space="preserve"> s opatřením </w:t>
      </w:r>
      <w:r w:rsidRPr="005312F1">
        <w:rPr>
          <w:i/>
        </w:rPr>
        <w:t>4.2 Zlepšení vnitřní a vnější obslužnosti území</w:t>
      </w:r>
      <w:r w:rsidR="005312F1">
        <w:t>, popisované jako o</w:t>
      </w:r>
      <w:r>
        <w:t>patření</w:t>
      </w:r>
      <w:r w:rsidR="005312F1">
        <w:t>, které</w:t>
      </w:r>
      <w:r>
        <w:t xml:space="preserve"> </w:t>
      </w:r>
      <w:r w:rsidRPr="005312F1">
        <w:rPr>
          <w:i/>
        </w:rPr>
        <w:t>zahrnuje zajištění odpovídající veřejné dopravy spojující stabilizovaná území s</w:t>
      </w:r>
      <w:r w:rsidR="005312F1" w:rsidRPr="005312F1">
        <w:rPr>
          <w:i/>
        </w:rPr>
        <w:t> </w:t>
      </w:r>
      <w:r w:rsidRPr="005312F1">
        <w:rPr>
          <w:i/>
        </w:rPr>
        <w:t>regionálními</w:t>
      </w:r>
      <w:r w:rsidR="005312F1" w:rsidRPr="005312F1">
        <w:rPr>
          <w:i/>
        </w:rPr>
        <w:t xml:space="preserve"> </w:t>
      </w:r>
      <w:r w:rsidRPr="005312F1">
        <w:rPr>
          <w:i/>
        </w:rPr>
        <w:t>centry, dále pak zkvalitnění regionálních a místních dopravních sítí (silnice II. a III. třídy, místní</w:t>
      </w:r>
      <w:r w:rsidR="005312F1" w:rsidRPr="005312F1">
        <w:rPr>
          <w:i/>
        </w:rPr>
        <w:t xml:space="preserve"> </w:t>
      </w:r>
      <w:r w:rsidRPr="005312F1">
        <w:rPr>
          <w:i/>
        </w:rPr>
        <w:t>komunikace, cyklostezky) a nezbytné dostupnosti a kapacity technické infrastruktury jako základní</w:t>
      </w:r>
      <w:r w:rsidR="005312F1" w:rsidRPr="005312F1">
        <w:rPr>
          <w:i/>
        </w:rPr>
        <w:t xml:space="preserve"> </w:t>
      </w:r>
      <w:r w:rsidRPr="005312F1">
        <w:rPr>
          <w:i/>
        </w:rPr>
        <w:t>podmínky pro další rozvoj těchto území</w:t>
      </w:r>
      <w:r w:rsidR="005312F1">
        <w:t>.</w:t>
      </w:r>
    </w:p>
    <w:p w:rsidR="005312F1" w:rsidRDefault="005312F1" w:rsidP="007F05CD">
      <w:pPr>
        <w:tabs>
          <w:tab w:val="left" w:pos="567"/>
        </w:tabs>
        <w:spacing w:after="0" w:line="240" w:lineRule="auto"/>
        <w:jc w:val="both"/>
      </w:pPr>
      <w:r>
        <w:t xml:space="preserve">Jak konvenuje aktivita s charakteristikou priority: </w:t>
      </w:r>
      <w:r w:rsidRPr="005312F1">
        <w:rPr>
          <w:i/>
        </w:rPr>
        <w:t>Priorita usiluje o vytvoření kvalitních podmínek pro život obyvatel stabilizovaných území s ohledem na vazby mezi jednotlivými sídly (obcemi) různé velikosti.</w:t>
      </w:r>
      <w:r>
        <w:t>?</w:t>
      </w:r>
    </w:p>
    <w:p w:rsidR="00494886" w:rsidRDefault="005312F1" w:rsidP="007F05CD">
      <w:pPr>
        <w:tabs>
          <w:tab w:val="left" w:pos="567"/>
        </w:tabs>
        <w:spacing w:after="0" w:line="240" w:lineRule="auto"/>
        <w:jc w:val="both"/>
      </w:pPr>
      <w:r>
        <w:t xml:space="preserve">Zahrnutí systémů </w:t>
      </w:r>
      <w:proofErr w:type="spellStart"/>
      <w:r>
        <w:t>CZT</w:t>
      </w:r>
      <w:proofErr w:type="spellEnd"/>
      <w:r>
        <w:t xml:space="preserve"> do tohoto opatření považujeme za </w:t>
      </w:r>
      <w:r w:rsidR="00420DF9">
        <w:t>mylné</w:t>
      </w:r>
      <w:r>
        <w:t>.</w:t>
      </w:r>
    </w:p>
    <w:p w:rsidR="005312F1" w:rsidRPr="00804265" w:rsidRDefault="005312F1" w:rsidP="007F05CD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5312F1" w:rsidRPr="00F75308" w:rsidRDefault="005312F1" w:rsidP="007F05CD">
      <w:pP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 xml:space="preserve">5. </w:t>
      </w:r>
      <w:r w:rsidRPr="00F75308">
        <w:rPr>
          <w:b/>
        </w:rPr>
        <w:t>Připomínka k</w:t>
      </w:r>
      <w:r>
        <w:rPr>
          <w:b/>
        </w:rPr>
        <w:t>e kapitole 6.3.1, odstavec první</w:t>
      </w:r>
      <w:r w:rsidRPr="00F75308">
        <w:rPr>
          <w:b/>
        </w:rPr>
        <w:t xml:space="preserve"> (</w:t>
      </w:r>
      <w:r>
        <w:rPr>
          <w:b/>
        </w:rPr>
        <w:t>str. 40</w:t>
      </w:r>
      <w:r w:rsidRPr="00F75308">
        <w:rPr>
          <w:b/>
        </w:rPr>
        <w:t>)</w:t>
      </w:r>
    </w:p>
    <w:p w:rsidR="005312F1" w:rsidRDefault="005312F1" w:rsidP="007F05CD">
      <w:pPr>
        <w:tabs>
          <w:tab w:val="left" w:pos="567"/>
        </w:tabs>
        <w:spacing w:after="0" w:line="240" w:lineRule="auto"/>
        <w:jc w:val="both"/>
      </w:pPr>
      <w:r>
        <w:t xml:space="preserve">Navrhujeme mezi podporované aktivity doplnit intervence </w:t>
      </w:r>
      <w:r w:rsidRPr="005312F1">
        <w:t>směřující k výstavbě nových a</w:t>
      </w:r>
      <w:r w:rsidR="004B23DA">
        <w:t> </w:t>
      </w:r>
      <w:r w:rsidRPr="005312F1">
        <w:t>rekonstrukci stávajících výroben bioplynu</w:t>
      </w:r>
      <w:r>
        <w:t>.</w:t>
      </w:r>
    </w:p>
    <w:p w:rsidR="005312F1" w:rsidRDefault="005312F1" w:rsidP="007F05CD">
      <w:pPr>
        <w:tabs>
          <w:tab w:val="left" w:pos="567"/>
        </w:tabs>
        <w:spacing w:after="0" w:line="240" w:lineRule="auto"/>
        <w:jc w:val="both"/>
      </w:pPr>
    </w:p>
    <w:p w:rsidR="005312F1" w:rsidRPr="004B23DA" w:rsidRDefault="004B23DA" w:rsidP="007F05CD">
      <w:pPr>
        <w:tabs>
          <w:tab w:val="left" w:pos="567"/>
        </w:tabs>
        <w:spacing w:after="0" w:line="240" w:lineRule="auto"/>
        <w:jc w:val="both"/>
        <w:rPr>
          <w:b/>
        </w:rPr>
      </w:pPr>
      <w:r w:rsidRPr="004B23DA">
        <w:rPr>
          <w:b/>
        </w:rPr>
        <w:t>Úplné znění:</w:t>
      </w:r>
    </w:p>
    <w:p w:rsidR="004B23DA" w:rsidRDefault="004B23DA" w:rsidP="007F05CD">
      <w:pPr>
        <w:tabs>
          <w:tab w:val="left" w:pos="567"/>
        </w:tabs>
        <w:spacing w:after="0" w:line="240" w:lineRule="auto"/>
        <w:jc w:val="both"/>
      </w:pPr>
      <w:r w:rsidRPr="004B23DA">
        <w:t>V rámci aktivity budou podpořeny intervence směřující k výstavbě nových a rekonstrukci stávajících výroben elektřiny</w:t>
      </w:r>
      <w:r w:rsidRPr="004B23DA">
        <w:rPr>
          <w:b/>
        </w:rPr>
        <w:t>, bioplynu</w:t>
      </w:r>
      <w:r w:rsidRPr="004B23DA">
        <w:t xml:space="preserve"> a tepla z obnovitelných zdrojů, které respektují místní požadavky z hlediska ochrany životního prostředí. Podpořeny budou také malé a střední podniky, a to zejména v jejich snaze maximálně využít potenciál pro zavádění moderních nízkouhlíkových technologií.</w:t>
      </w:r>
    </w:p>
    <w:p w:rsidR="005312F1" w:rsidRDefault="005312F1" w:rsidP="007F05CD">
      <w:pPr>
        <w:tabs>
          <w:tab w:val="left" w:pos="567"/>
        </w:tabs>
        <w:spacing w:after="0" w:line="240" w:lineRule="auto"/>
        <w:jc w:val="both"/>
      </w:pPr>
    </w:p>
    <w:p w:rsidR="005312F1" w:rsidRPr="004B23DA" w:rsidRDefault="004B23DA" w:rsidP="007F05CD">
      <w:pPr>
        <w:tabs>
          <w:tab w:val="left" w:pos="567"/>
        </w:tabs>
        <w:spacing w:after="0" w:line="240" w:lineRule="auto"/>
        <w:jc w:val="both"/>
        <w:rPr>
          <w:b/>
        </w:rPr>
      </w:pPr>
      <w:r w:rsidRPr="004B23DA">
        <w:rPr>
          <w:b/>
        </w:rPr>
        <w:t>Odůvodnění:</w:t>
      </w:r>
    </w:p>
    <w:p w:rsidR="004B23DA" w:rsidRDefault="004B23DA" w:rsidP="007F05CD">
      <w:pPr>
        <w:tabs>
          <w:tab w:val="left" w:pos="567"/>
        </w:tabs>
        <w:spacing w:after="0" w:line="240" w:lineRule="auto"/>
        <w:jc w:val="both"/>
      </w:pPr>
      <w:r>
        <w:t xml:space="preserve">Výroba bioplynu, popř. </w:t>
      </w:r>
      <w:proofErr w:type="spellStart"/>
      <w:r>
        <w:t>biometanu</w:t>
      </w:r>
      <w:proofErr w:type="spellEnd"/>
      <w:r>
        <w:t xml:space="preserve"> je jednou z nejefektivnějších forem výroby energie z obnovitelných zdrojů. Doplnění je zároveň v souladu s připravovanou novelou zákona 165/2012 Sb. o podporovaných zdrojích energie, který nově obsahuje podporu výroby bioplynu / </w:t>
      </w:r>
      <w:proofErr w:type="spellStart"/>
      <w:r>
        <w:t>biometanu</w:t>
      </w:r>
      <w:proofErr w:type="spellEnd"/>
      <w:r>
        <w:t>.</w:t>
      </w:r>
    </w:p>
    <w:p w:rsidR="005312F1" w:rsidRDefault="005312F1" w:rsidP="007F05CD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5312F1" w:rsidRPr="00AE003E" w:rsidRDefault="005312F1" w:rsidP="007F05CD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DC3EB8" w:rsidRDefault="00DC3EB8" w:rsidP="007F05CD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DC3EB8">
        <w:rPr>
          <w:b/>
        </w:rPr>
        <w:t>DOPORUČUJÍCÍ PŘIPOMÍNKY</w:t>
      </w:r>
    </w:p>
    <w:p w:rsidR="00006CFE" w:rsidRPr="00006CFE" w:rsidRDefault="00006CFE" w:rsidP="007F05CD">
      <w:pPr>
        <w:tabs>
          <w:tab w:val="left" w:pos="567"/>
        </w:tabs>
        <w:spacing w:after="0" w:line="240" w:lineRule="auto"/>
        <w:jc w:val="both"/>
      </w:pPr>
    </w:p>
    <w:p w:rsidR="00006CFE" w:rsidRPr="00006CFE" w:rsidRDefault="004B23DA" w:rsidP="007F05CD">
      <w:pPr>
        <w:tabs>
          <w:tab w:val="left" w:pos="567"/>
        </w:tabs>
        <w:spacing w:after="0" w:line="240" w:lineRule="auto"/>
        <w:jc w:val="both"/>
      </w:pPr>
      <w:r>
        <w:t xml:space="preserve">K lepší srozumitelnosti </w:t>
      </w:r>
      <w:proofErr w:type="gramStart"/>
      <w:r>
        <w:t>materiálu(ů) by</w:t>
      </w:r>
      <w:proofErr w:type="gramEnd"/>
      <w:r>
        <w:t xml:space="preserve"> obecně přispělo </w:t>
      </w:r>
      <w:r w:rsidR="00494886">
        <w:t>použív</w:t>
      </w:r>
      <w:r>
        <w:t>ání jednotného označení pro totožnou věc</w:t>
      </w:r>
      <w:r w:rsidR="00494886">
        <w:t xml:space="preserve"> (centrální / systém / soustava).</w:t>
      </w:r>
    </w:p>
    <w:p w:rsidR="00006CFE" w:rsidRDefault="00006CFE" w:rsidP="007F05CD">
      <w:pPr>
        <w:tabs>
          <w:tab w:val="left" w:pos="567"/>
        </w:tabs>
        <w:spacing w:after="0" w:line="240" w:lineRule="auto"/>
        <w:jc w:val="both"/>
      </w:pPr>
    </w:p>
    <w:p w:rsidR="007F05CD" w:rsidRDefault="007F05CD" w:rsidP="007F05CD">
      <w:pPr>
        <w:tabs>
          <w:tab w:val="left" w:pos="567"/>
        </w:tabs>
        <w:spacing w:after="0" w:line="240" w:lineRule="auto"/>
        <w:jc w:val="both"/>
      </w:pPr>
    </w:p>
    <w:p w:rsidR="007F05CD" w:rsidRDefault="007F05CD" w:rsidP="007F05CD">
      <w:pPr>
        <w:tabs>
          <w:tab w:val="left" w:pos="567"/>
        </w:tabs>
        <w:spacing w:after="0" w:line="240" w:lineRule="auto"/>
        <w:jc w:val="both"/>
      </w:pPr>
    </w:p>
    <w:p w:rsidR="007F05CD" w:rsidRPr="00006CFE" w:rsidRDefault="007F05CD" w:rsidP="007F05CD">
      <w:pPr>
        <w:tabs>
          <w:tab w:val="left" w:pos="567"/>
        </w:tabs>
        <w:spacing w:after="0" w:line="240" w:lineRule="auto"/>
        <w:jc w:val="both"/>
      </w:pPr>
      <w:r>
        <w:t>Praha 15. 1. 2019.</w:t>
      </w:r>
    </w:p>
    <w:sectPr w:rsidR="007F05CD" w:rsidRPr="00006CFE" w:rsidSect="007F05C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1418" w:bottom="992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A70" w:rsidRDefault="007D0A70" w:rsidP="00420DF9">
      <w:pPr>
        <w:spacing w:after="0" w:line="240" w:lineRule="auto"/>
      </w:pPr>
      <w:r>
        <w:separator/>
      </w:r>
    </w:p>
  </w:endnote>
  <w:endnote w:type="continuationSeparator" w:id="0">
    <w:p w:rsidR="007D0A70" w:rsidRDefault="007D0A70" w:rsidP="0042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873173"/>
      <w:docPartObj>
        <w:docPartGallery w:val="Page Numbers (Bottom of Page)"/>
        <w:docPartUnique/>
      </w:docPartObj>
    </w:sdtPr>
    <w:sdtContent>
      <w:p w:rsidR="00420DF9" w:rsidRDefault="00E01B73">
        <w:pPr>
          <w:pStyle w:val="Zpat"/>
          <w:jc w:val="center"/>
        </w:pPr>
        <w:fldSimple w:instr=" PAGE   \* MERGEFORMAT ">
          <w:r w:rsidR="007F05CD">
            <w:rPr>
              <w:noProof/>
            </w:rPr>
            <w:t>2</w:t>
          </w:r>
        </w:fldSimple>
      </w:p>
    </w:sdtContent>
  </w:sdt>
  <w:p w:rsidR="00420DF9" w:rsidRDefault="00420DF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CD" w:rsidRPr="009C2AC1" w:rsidRDefault="007F05CD" w:rsidP="007F05CD">
    <w:pPr>
      <w:pStyle w:val="Zpat"/>
      <w:spacing w:before="240" w:line="360" w:lineRule="auto"/>
      <w:jc w:val="center"/>
      <w:rPr>
        <w:color w:val="BFBFBF"/>
        <w:sz w:val="20"/>
        <w:szCs w:val="20"/>
      </w:rPr>
    </w:pPr>
    <w:r w:rsidRPr="009C2AC1">
      <w:rPr>
        <w:color w:val="BFBFBF"/>
        <w:sz w:val="20"/>
        <w:szCs w:val="20"/>
      </w:rPr>
      <w:t>_________________________________________________________________________________</w:t>
    </w:r>
  </w:p>
  <w:p w:rsidR="007F05CD" w:rsidRPr="009C2AC1" w:rsidRDefault="007F05CD" w:rsidP="007F05CD">
    <w:pPr>
      <w:pStyle w:val="Zpat"/>
      <w:spacing w:line="276" w:lineRule="auto"/>
      <w:jc w:val="center"/>
      <w:rPr>
        <w:color w:val="808080"/>
        <w:sz w:val="18"/>
        <w:szCs w:val="18"/>
      </w:rPr>
    </w:pPr>
    <w:r w:rsidRPr="009C2AC1">
      <w:rPr>
        <w:b/>
        <w:color w:val="808080"/>
        <w:sz w:val="18"/>
        <w:szCs w:val="18"/>
      </w:rPr>
      <w:t>Český plynárenský svaz</w:t>
    </w:r>
    <w:r w:rsidRPr="009C2AC1">
      <w:rPr>
        <w:color w:val="808080"/>
        <w:sz w:val="18"/>
        <w:szCs w:val="18"/>
      </w:rPr>
      <w:t xml:space="preserve">, U Plynárny 223/42, </w:t>
    </w:r>
    <w:proofErr w:type="gramStart"/>
    <w:r w:rsidRPr="009C2AC1">
      <w:rPr>
        <w:color w:val="808080"/>
        <w:sz w:val="18"/>
        <w:szCs w:val="18"/>
      </w:rPr>
      <w:t xml:space="preserve">140 </w:t>
    </w:r>
    <w:r>
      <w:rPr>
        <w:color w:val="808080"/>
        <w:sz w:val="18"/>
        <w:szCs w:val="18"/>
      </w:rPr>
      <w:t>00</w:t>
    </w:r>
    <w:r w:rsidRPr="009C2AC1">
      <w:rPr>
        <w:color w:val="808080"/>
        <w:sz w:val="18"/>
        <w:szCs w:val="18"/>
      </w:rPr>
      <w:t xml:space="preserve">  Praha</w:t>
    </w:r>
    <w:proofErr w:type="gramEnd"/>
    <w:r w:rsidRPr="009C2AC1">
      <w:rPr>
        <w:color w:val="808080"/>
        <w:sz w:val="18"/>
        <w:szCs w:val="18"/>
      </w:rPr>
      <w:t xml:space="preserve"> 4</w:t>
    </w:r>
    <w:r w:rsidRPr="009C2AC1">
      <w:rPr>
        <w:color w:val="808080"/>
        <w:sz w:val="18"/>
        <w:szCs w:val="18"/>
      </w:rPr>
      <w:br/>
      <w:t>ČSOB, a.</w:t>
    </w:r>
    <w:r>
      <w:rPr>
        <w:color w:val="808080"/>
        <w:sz w:val="18"/>
        <w:szCs w:val="18"/>
      </w:rPr>
      <w:t xml:space="preserve"> </w:t>
    </w:r>
    <w:r w:rsidRPr="009C2AC1">
      <w:rPr>
        <w:color w:val="808080"/>
        <w:sz w:val="18"/>
        <w:szCs w:val="18"/>
      </w:rPr>
      <w:t>s. - č.</w:t>
    </w:r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ú</w:t>
    </w:r>
    <w:proofErr w:type="spellEnd"/>
    <w:r>
      <w:rPr>
        <w:color w:val="808080"/>
        <w:sz w:val="18"/>
        <w:szCs w:val="18"/>
      </w:rPr>
      <w:t>.: 17478393/0300, IČO</w:t>
    </w:r>
    <w:r w:rsidRPr="009C2AC1">
      <w:rPr>
        <w:color w:val="808080"/>
        <w:sz w:val="18"/>
        <w:szCs w:val="18"/>
      </w:rPr>
      <w:t xml:space="preserve">: 00409928, DIČ: </w:t>
    </w:r>
    <w:proofErr w:type="spellStart"/>
    <w:r w:rsidRPr="009C2AC1">
      <w:rPr>
        <w:color w:val="808080"/>
        <w:sz w:val="18"/>
        <w:szCs w:val="18"/>
      </w:rPr>
      <w:t>CZ00409928</w:t>
    </w:r>
    <w:proofErr w:type="spellEnd"/>
    <w:r w:rsidRPr="009C2AC1">
      <w:rPr>
        <w:color w:val="808080"/>
        <w:sz w:val="18"/>
        <w:szCs w:val="18"/>
      </w:rPr>
      <w:br/>
      <w:t xml:space="preserve">Tel.: +420 222 518 811, e-mail: </w:t>
    </w:r>
    <w:hyperlink r:id="rId1" w:history="1">
      <w:proofErr w:type="spellStart"/>
      <w:r w:rsidRPr="009C2AC1">
        <w:rPr>
          <w:rStyle w:val="Hypertextovodkaz"/>
          <w:color w:val="808080"/>
          <w:sz w:val="18"/>
          <w:szCs w:val="18"/>
        </w:rPr>
        <w:t>cpsvaz</w:t>
      </w:r>
      <w:proofErr w:type="spellEnd"/>
      <w:r w:rsidRPr="009C2AC1">
        <w:rPr>
          <w:rStyle w:val="Hypertextovodkaz"/>
          <w:color w:val="808080"/>
          <w:sz w:val="18"/>
          <w:szCs w:val="18"/>
        </w:rPr>
        <w:t>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  <w:r w:rsidRPr="009C2AC1">
      <w:rPr>
        <w:color w:val="808080"/>
        <w:sz w:val="18"/>
        <w:szCs w:val="18"/>
      </w:rPr>
      <w:t>, ekonom: +420 241 049 724</w:t>
    </w:r>
  </w:p>
  <w:p w:rsidR="007F05CD" w:rsidRPr="009C2AC1" w:rsidRDefault="007F05CD" w:rsidP="007F05CD">
    <w:pPr>
      <w:pStyle w:val="Zpat"/>
      <w:spacing w:line="276" w:lineRule="auto"/>
      <w:jc w:val="center"/>
      <w:rPr>
        <w:color w:val="1F497D"/>
        <w:sz w:val="18"/>
        <w:szCs w:val="18"/>
      </w:rPr>
    </w:pPr>
    <w:r w:rsidRPr="009C2AC1">
      <w:rPr>
        <w:color w:val="808080"/>
        <w:sz w:val="18"/>
        <w:szCs w:val="18"/>
      </w:rPr>
      <w:t xml:space="preserve">Časopis PLYN: tel.: +420 241 049 722, e-mail: </w:t>
    </w:r>
    <w:hyperlink r:id="rId2" w:history="1">
      <w:r w:rsidRPr="009C2AC1">
        <w:rPr>
          <w:rStyle w:val="Hypertextovodkaz"/>
          <w:color w:val="808080"/>
          <w:sz w:val="18"/>
          <w:szCs w:val="18"/>
        </w:rPr>
        <w:t>plyn@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</w:p>
  <w:p w:rsidR="007F05CD" w:rsidRDefault="007F05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A70" w:rsidRDefault="007D0A70" w:rsidP="00420DF9">
      <w:pPr>
        <w:spacing w:after="0" w:line="240" w:lineRule="auto"/>
      </w:pPr>
      <w:r>
        <w:separator/>
      </w:r>
    </w:p>
  </w:footnote>
  <w:footnote w:type="continuationSeparator" w:id="0">
    <w:p w:rsidR="007D0A70" w:rsidRDefault="007D0A70" w:rsidP="0042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CD" w:rsidRDefault="007F05CD" w:rsidP="007F05CD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CD" w:rsidRDefault="007F05CD" w:rsidP="007F05CD">
    <w:pPr>
      <w:pStyle w:val="Zhlav"/>
      <w:jc w:val="center"/>
    </w:pPr>
    <w:r w:rsidRPr="007F05CD">
      <w:drawing>
        <wp:inline distT="0" distB="0" distL="0" distR="0">
          <wp:extent cx="3084195" cy="805180"/>
          <wp:effectExtent l="19050" t="0" r="1905" b="0"/>
          <wp:docPr id="2" name="obrázek 1" descr="CPS_logo s tex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PS_logo s tex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195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977E493A"/>
    <w:lvl w:ilvl="0" w:tplc="BD3C28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6CFE"/>
    <w:rsid w:val="0000748C"/>
    <w:rsid w:val="00025760"/>
    <w:rsid w:val="00030F5B"/>
    <w:rsid w:val="00046D93"/>
    <w:rsid w:val="00085B92"/>
    <w:rsid w:val="000B5F11"/>
    <w:rsid w:val="00102933"/>
    <w:rsid w:val="001307BE"/>
    <w:rsid w:val="00193D68"/>
    <w:rsid w:val="001B4D1D"/>
    <w:rsid w:val="001B5C83"/>
    <w:rsid w:val="001E276E"/>
    <w:rsid w:val="001F4636"/>
    <w:rsid w:val="00241F59"/>
    <w:rsid w:val="002515A5"/>
    <w:rsid w:val="0026155F"/>
    <w:rsid w:val="00263AFD"/>
    <w:rsid w:val="00276473"/>
    <w:rsid w:val="00276D47"/>
    <w:rsid w:val="002B3746"/>
    <w:rsid w:val="002F2828"/>
    <w:rsid w:val="002F792F"/>
    <w:rsid w:val="00302F26"/>
    <w:rsid w:val="0032279B"/>
    <w:rsid w:val="00324F39"/>
    <w:rsid w:val="0034320F"/>
    <w:rsid w:val="00376877"/>
    <w:rsid w:val="00381EA0"/>
    <w:rsid w:val="00383044"/>
    <w:rsid w:val="00385822"/>
    <w:rsid w:val="003A2D75"/>
    <w:rsid w:val="003D1839"/>
    <w:rsid w:val="003D2DAA"/>
    <w:rsid w:val="003E26AC"/>
    <w:rsid w:val="003E4DE7"/>
    <w:rsid w:val="00402E21"/>
    <w:rsid w:val="00420DF9"/>
    <w:rsid w:val="004238B4"/>
    <w:rsid w:val="004325EC"/>
    <w:rsid w:val="0048475A"/>
    <w:rsid w:val="00493533"/>
    <w:rsid w:val="00494886"/>
    <w:rsid w:val="004B014F"/>
    <w:rsid w:val="004B23DA"/>
    <w:rsid w:val="004D5CCD"/>
    <w:rsid w:val="004E6D8E"/>
    <w:rsid w:val="00503560"/>
    <w:rsid w:val="005312F1"/>
    <w:rsid w:val="00535CAD"/>
    <w:rsid w:val="00552556"/>
    <w:rsid w:val="005664DD"/>
    <w:rsid w:val="00595359"/>
    <w:rsid w:val="005B1309"/>
    <w:rsid w:val="005C70D0"/>
    <w:rsid w:val="00654712"/>
    <w:rsid w:val="006555BD"/>
    <w:rsid w:val="00663593"/>
    <w:rsid w:val="00674FEE"/>
    <w:rsid w:val="00691289"/>
    <w:rsid w:val="006C7CE9"/>
    <w:rsid w:val="006E3A8F"/>
    <w:rsid w:val="007069C5"/>
    <w:rsid w:val="0077211F"/>
    <w:rsid w:val="0078571A"/>
    <w:rsid w:val="007D0A70"/>
    <w:rsid w:val="007E58AF"/>
    <w:rsid w:val="007F05CD"/>
    <w:rsid w:val="00804265"/>
    <w:rsid w:val="0081645A"/>
    <w:rsid w:val="00824095"/>
    <w:rsid w:val="00837558"/>
    <w:rsid w:val="00844545"/>
    <w:rsid w:val="0085074D"/>
    <w:rsid w:val="00867D97"/>
    <w:rsid w:val="00873A04"/>
    <w:rsid w:val="008A52AE"/>
    <w:rsid w:val="008D27E7"/>
    <w:rsid w:val="008E140E"/>
    <w:rsid w:val="008F1D8D"/>
    <w:rsid w:val="008F4B45"/>
    <w:rsid w:val="00934F0B"/>
    <w:rsid w:val="00950081"/>
    <w:rsid w:val="009A08CE"/>
    <w:rsid w:val="009B3460"/>
    <w:rsid w:val="009C28C1"/>
    <w:rsid w:val="00A0284F"/>
    <w:rsid w:val="00A067C2"/>
    <w:rsid w:val="00A45A4F"/>
    <w:rsid w:val="00AC3D97"/>
    <w:rsid w:val="00AC6BB7"/>
    <w:rsid w:val="00AD4F46"/>
    <w:rsid w:val="00AE003E"/>
    <w:rsid w:val="00B40EC9"/>
    <w:rsid w:val="00B74108"/>
    <w:rsid w:val="00BA05C8"/>
    <w:rsid w:val="00BF710E"/>
    <w:rsid w:val="00C002C0"/>
    <w:rsid w:val="00C16795"/>
    <w:rsid w:val="00C23AC1"/>
    <w:rsid w:val="00C3752E"/>
    <w:rsid w:val="00C72F33"/>
    <w:rsid w:val="00C82487"/>
    <w:rsid w:val="00C84C52"/>
    <w:rsid w:val="00CE2836"/>
    <w:rsid w:val="00CF3C4E"/>
    <w:rsid w:val="00D23F90"/>
    <w:rsid w:val="00DA1C38"/>
    <w:rsid w:val="00DC3EB8"/>
    <w:rsid w:val="00DD3281"/>
    <w:rsid w:val="00DE3A9D"/>
    <w:rsid w:val="00DE762E"/>
    <w:rsid w:val="00E01B73"/>
    <w:rsid w:val="00E01DF3"/>
    <w:rsid w:val="00E02E9C"/>
    <w:rsid w:val="00E15B76"/>
    <w:rsid w:val="00E26016"/>
    <w:rsid w:val="00E37CA4"/>
    <w:rsid w:val="00E710D4"/>
    <w:rsid w:val="00E72BD3"/>
    <w:rsid w:val="00EA46ED"/>
    <w:rsid w:val="00EB0B12"/>
    <w:rsid w:val="00EB5907"/>
    <w:rsid w:val="00EE4F03"/>
    <w:rsid w:val="00F1590F"/>
    <w:rsid w:val="00F75308"/>
    <w:rsid w:val="00FC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2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20DF9"/>
  </w:style>
  <w:style w:type="paragraph" w:styleId="Zpat">
    <w:name w:val="footer"/>
    <w:basedOn w:val="Normln"/>
    <w:link w:val="ZpatChar"/>
    <w:unhideWhenUsed/>
    <w:rsid w:val="0042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20DF9"/>
  </w:style>
  <w:style w:type="paragraph" w:styleId="Textbubliny">
    <w:name w:val="Balloon Text"/>
    <w:basedOn w:val="Normln"/>
    <w:link w:val="TextbublinyChar"/>
    <w:uiPriority w:val="99"/>
    <w:semiHidden/>
    <w:unhideWhenUsed/>
    <w:rsid w:val="007F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5CD"/>
    <w:rPr>
      <w:rFonts w:ascii="Tahoma" w:hAnsi="Tahoma" w:cs="Tahoma"/>
      <w:sz w:val="16"/>
      <w:szCs w:val="16"/>
    </w:rPr>
  </w:style>
  <w:style w:type="character" w:styleId="Hypertextovodkaz">
    <w:name w:val="Hyperlink"/>
    <w:rsid w:val="007F0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lyn@cgoa.cz" TargetMode="External"/><Relationship Id="rId1" Type="http://schemas.openxmlformats.org/officeDocument/2006/relationships/hyperlink" Target="mailto:cpsvaz@cgo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TP</cp:lastModifiedBy>
  <cp:revision>7</cp:revision>
  <dcterms:created xsi:type="dcterms:W3CDTF">2019-01-15T12:12:00Z</dcterms:created>
  <dcterms:modified xsi:type="dcterms:W3CDTF">2019-11-14T14:52:00Z</dcterms:modified>
</cp:coreProperties>
</file>