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8A" w:rsidRPr="0031258A" w:rsidRDefault="00A617BD" w:rsidP="0031258A">
      <w:pPr>
        <w:spacing w:before="120" w:after="240" w:line="240" w:lineRule="auto"/>
        <w:jc w:val="center"/>
        <w:rPr>
          <w:rFonts w:ascii="Arial" w:hAnsi="Arial" w:cs="Arial"/>
          <w:b/>
          <w:sz w:val="28"/>
          <w:szCs w:val="28"/>
        </w:rPr>
      </w:pPr>
      <w:r w:rsidRPr="00A617BD">
        <w:rPr>
          <w:rFonts w:ascii="Arial" w:hAnsi="Arial" w:cs="Arial"/>
          <w:b/>
          <w:sz w:val="28"/>
          <w:szCs w:val="28"/>
        </w:rPr>
        <w:t>Komentáře Českého plynárenského svazu k předběžné zprávě o</w:t>
      </w:r>
      <w:r>
        <w:rPr>
          <w:rFonts w:ascii="Arial" w:hAnsi="Arial" w:cs="Arial"/>
          <w:b/>
          <w:sz w:val="28"/>
          <w:szCs w:val="28"/>
        </w:rPr>
        <w:t> </w:t>
      </w:r>
      <w:r w:rsidRPr="00A617BD">
        <w:rPr>
          <w:rFonts w:ascii="Arial" w:hAnsi="Arial" w:cs="Arial"/>
          <w:b/>
          <w:sz w:val="28"/>
          <w:szCs w:val="28"/>
        </w:rPr>
        <w:t>designu trhu s plynem v Evropě</w:t>
      </w:r>
    </w:p>
    <w:p w:rsidR="00A617BD" w:rsidRPr="00A617BD" w:rsidRDefault="00A617BD" w:rsidP="00A617BD">
      <w:pPr>
        <w:spacing w:after="0" w:line="240" w:lineRule="auto"/>
        <w:jc w:val="both"/>
        <w:rPr>
          <w:sz w:val="24"/>
          <w:szCs w:val="24"/>
        </w:rPr>
      </w:pP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Český plynárenský svaz (ČPS) vítá příležitost pos</w:t>
      </w:r>
      <w:r>
        <w:rPr>
          <w:rFonts w:cs="Arial"/>
          <w:color w:val="222222"/>
          <w:sz w:val="24"/>
          <w:szCs w:val="24"/>
        </w:rPr>
        <w:t>kytnout Ministerstvu průmyslu a </w:t>
      </w:r>
      <w:r w:rsidRPr="00A617BD">
        <w:rPr>
          <w:rFonts w:cs="Arial"/>
          <w:color w:val="222222"/>
          <w:sz w:val="24"/>
          <w:szCs w:val="24"/>
        </w:rPr>
        <w:t xml:space="preserve">obchodu České republiky své komentáře a připomínky na dílčí kvantitativní výsledky a druhou předběžnou zprávu o Regulačním rámci pro evropský trh s plynem – studie o designu trhu s plynem v Evropě (tzv. studie </w:t>
      </w:r>
      <w:r w:rsidRPr="00A617BD">
        <w:rPr>
          <w:rFonts w:cs="Arial"/>
          <w:i/>
          <w:color w:val="222222"/>
          <w:sz w:val="24"/>
          <w:szCs w:val="24"/>
        </w:rPr>
        <w:t xml:space="preserve">Quo </w:t>
      </w:r>
      <w:proofErr w:type="spellStart"/>
      <w:r w:rsidRPr="00A617BD">
        <w:rPr>
          <w:rFonts w:cs="Arial"/>
          <w:i/>
          <w:color w:val="222222"/>
          <w:sz w:val="24"/>
          <w:szCs w:val="24"/>
        </w:rPr>
        <w:t>Vadis</w:t>
      </w:r>
      <w:proofErr w:type="spellEnd"/>
      <w:r w:rsidRPr="00A617BD">
        <w:rPr>
          <w:rFonts w:cs="Arial"/>
          <w:color w:val="222222"/>
          <w:sz w:val="24"/>
          <w:szCs w:val="24"/>
        </w:rPr>
        <w:t>)</w:t>
      </w:r>
      <w:r>
        <w:rPr>
          <w:rFonts w:cs="Arial"/>
          <w:color w:val="222222"/>
          <w:sz w:val="24"/>
          <w:szCs w:val="24"/>
        </w:rPr>
        <w:t>,</w:t>
      </w:r>
      <w:r w:rsidRPr="00A617BD">
        <w:rPr>
          <w:rFonts w:cs="Arial"/>
          <w:color w:val="222222"/>
          <w:sz w:val="24"/>
          <w:szCs w:val="24"/>
        </w:rPr>
        <w:t xml:space="preserve"> vypracované společnostmi </w:t>
      </w:r>
      <w:proofErr w:type="spellStart"/>
      <w:r w:rsidRPr="00A617BD">
        <w:rPr>
          <w:rFonts w:cs="Arial"/>
          <w:color w:val="222222"/>
          <w:sz w:val="24"/>
          <w:szCs w:val="24"/>
        </w:rPr>
        <w:t>Ernst</w:t>
      </w:r>
      <w:proofErr w:type="spellEnd"/>
      <w:r w:rsidRPr="00A617BD">
        <w:rPr>
          <w:rFonts w:cs="Arial"/>
          <w:color w:val="222222"/>
          <w:sz w:val="24"/>
          <w:szCs w:val="24"/>
        </w:rPr>
        <w:t>&amp;</w:t>
      </w:r>
      <w:proofErr w:type="spellStart"/>
      <w:r w:rsidRPr="00A617BD">
        <w:rPr>
          <w:rFonts w:cs="Arial"/>
          <w:color w:val="222222"/>
          <w:sz w:val="24"/>
          <w:szCs w:val="24"/>
        </w:rPr>
        <w:t>Young</w:t>
      </w:r>
      <w:proofErr w:type="spellEnd"/>
      <w:r w:rsidRPr="00A617BD">
        <w:rPr>
          <w:rFonts w:cs="Arial"/>
          <w:color w:val="222222"/>
          <w:sz w:val="24"/>
          <w:szCs w:val="24"/>
        </w:rPr>
        <w:t xml:space="preserve"> </w:t>
      </w:r>
      <w:proofErr w:type="spellStart"/>
      <w:r w:rsidRPr="00A617BD">
        <w:rPr>
          <w:rFonts w:cs="Arial"/>
          <w:color w:val="222222"/>
          <w:sz w:val="24"/>
          <w:szCs w:val="24"/>
        </w:rPr>
        <w:t>and</w:t>
      </w:r>
      <w:proofErr w:type="spellEnd"/>
      <w:r w:rsidRPr="00A617BD">
        <w:rPr>
          <w:rFonts w:cs="Arial"/>
          <w:color w:val="222222"/>
          <w:sz w:val="24"/>
          <w:szCs w:val="24"/>
        </w:rPr>
        <w:t xml:space="preserve"> </w:t>
      </w:r>
      <w:proofErr w:type="spellStart"/>
      <w:r w:rsidRPr="00A617BD">
        <w:rPr>
          <w:rFonts w:cs="Arial"/>
          <w:color w:val="222222"/>
          <w:sz w:val="24"/>
          <w:szCs w:val="24"/>
        </w:rPr>
        <w:t>REKK</w:t>
      </w:r>
      <w:proofErr w:type="spellEnd"/>
      <w:r w:rsidRPr="00A617BD">
        <w:rPr>
          <w:rFonts w:cs="Arial"/>
          <w:color w:val="222222"/>
          <w:sz w:val="24"/>
          <w:szCs w:val="24"/>
        </w:rPr>
        <w:t xml:space="preserve"> </w:t>
      </w:r>
      <w:r>
        <w:rPr>
          <w:rFonts w:cs="Arial"/>
          <w:color w:val="222222"/>
          <w:sz w:val="24"/>
          <w:szCs w:val="24"/>
        </w:rPr>
        <w:t>a </w:t>
      </w:r>
      <w:r w:rsidRPr="00A617BD">
        <w:rPr>
          <w:rFonts w:cs="Arial"/>
          <w:color w:val="222222"/>
          <w:sz w:val="24"/>
          <w:szCs w:val="24"/>
        </w:rPr>
        <w:t xml:space="preserve">předložené odborné veřejnosti </w:t>
      </w:r>
      <w:r>
        <w:rPr>
          <w:rFonts w:cs="Arial"/>
          <w:color w:val="222222"/>
          <w:sz w:val="24"/>
          <w:szCs w:val="24"/>
        </w:rPr>
        <w:t xml:space="preserve">dne </w:t>
      </w:r>
      <w:r w:rsidRPr="00A617BD">
        <w:rPr>
          <w:rFonts w:cs="Arial"/>
          <w:color w:val="222222"/>
          <w:sz w:val="24"/>
          <w:szCs w:val="24"/>
        </w:rPr>
        <w:t>8.</w:t>
      </w:r>
      <w:r>
        <w:rPr>
          <w:rFonts w:cs="Arial"/>
          <w:color w:val="222222"/>
          <w:sz w:val="24"/>
          <w:szCs w:val="24"/>
        </w:rPr>
        <w:t xml:space="preserve"> </w:t>
      </w:r>
      <w:r w:rsidRPr="00A617BD">
        <w:rPr>
          <w:rFonts w:cs="Arial"/>
          <w:color w:val="222222"/>
          <w:sz w:val="24"/>
          <w:szCs w:val="24"/>
        </w:rPr>
        <w:t>12.</w:t>
      </w:r>
      <w:r>
        <w:rPr>
          <w:rFonts w:cs="Arial"/>
          <w:color w:val="222222"/>
          <w:sz w:val="24"/>
          <w:szCs w:val="24"/>
        </w:rPr>
        <w:t xml:space="preserve"> </w:t>
      </w:r>
      <w:r w:rsidRPr="00A617BD">
        <w:rPr>
          <w:rFonts w:cs="Arial"/>
          <w:color w:val="222222"/>
          <w:sz w:val="24"/>
          <w:szCs w:val="24"/>
        </w:rPr>
        <w:t>2017.</w:t>
      </w:r>
    </w:p>
    <w:p w:rsidR="00A617BD" w:rsidRPr="00A617BD" w:rsidRDefault="00A617BD" w:rsidP="00A617BD">
      <w:pPr>
        <w:spacing w:after="0" w:line="240" w:lineRule="auto"/>
        <w:jc w:val="both"/>
        <w:rPr>
          <w:rFonts w:cs="Arial"/>
          <w:color w:val="222222"/>
          <w:sz w:val="24"/>
          <w:szCs w:val="24"/>
        </w:rPr>
      </w:pP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 xml:space="preserve">ČPS je názoru, že jakékoliv budoucí změny v evropské legislativě by měly následovat až po plné implementaci stávajících energetických liberalizačních balíčků a síťových kodexů a vyhodnocení jejich fungování (na omezenou implementaci třetího energetického balíčku ostatně </w:t>
      </w:r>
      <w:r>
        <w:rPr>
          <w:rFonts w:cs="Arial"/>
          <w:color w:val="222222"/>
          <w:sz w:val="24"/>
          <w:szCs w:val="24"/>
        </w:rPr>
        <w:t>poukazuje i </w:t>
      </w:r>
      <w:r w:rsidRPr="00A617BD">
        <w:rPr>
          <w:rFonts w:cs="Arial"/>
          <w:color w:val="222222"/>
          <w:sz w:val="24"/>
          <w:szCs w:val="24"/>
        </w:rPr>
        <w:t xml:space="preserve">studie spol. </w:t>
      </w:r>
      <w:proofErr w:type="spellStart"/>
      <w:r w:rsidRPr="00A617BD">
        <w:rPr>
          <w:rFonts w:cs="Arial"/>
          <w:color w:val="222222"/>
          <w:sz w:val="24"/>
          <w:szCs w:val="24"/>
        </w:rPr>
        <w:t>REKK</w:t>
      </w:r>
      <w:proofErr w:type="spellEnd"/>
      <w:r w:rsidRPr="00A617BD">
        <w:rPr>
          <w:rFonts w:cs="Arial"/>
          <w:color w:val="222222"/>
          <w:sz w:val="24"/>
          <w:szCs w:val="24"/>
        </w:rPr>
        <w:t>)</w:t>
      </w:r>
      <w:r>
        <w:rPr>
          <w:rFonts w:cs="Arial"/>
          <w:color w:val="222222"/>
          <w:sz w:val="24"/>
          <w:szCs w:val="24"/>
        </w:rPr>
        <w:t>.</w:t>
      </w: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Domníváme se, že stávající evropská legislativa, bude-li plně implementována, poskytuje dostatečný rámec pro další rozvoj transparentního a konkurenceschopného</w:t>
      </w:r>
      <w:r w:rsidRPr="00A617BD" w:rsidDel="00422C3E">
        <w:rPr>
          <w:rFonts w:cs="Arial"/>
          <w:color w:val="222222"/>
          <w:sz w:val="24"/>
          <w:szCs w:val="24"/>
        </w:rPr>
        <w:t xml:space="preserve"> </w:t>
      </w:r>
      <w:r w:rsidRPr="00A617BD">
        <w:rPr>
          <w:rFonts w:cs="Arial"/>
          <w:color w:val="222222"/>
          <w:sz w:val="24"/>
          <w:szCs w:val="24"/>
        </w:rPr>
        <w:t>trhu s plynem. Pokud se v ojedinělých případech ukáže, že trhy nejsou plně funkční, je třeba zvážit cílená opatření, která řeší potřeby konkrétního trhu, namísto zásadních a strukturálních změn zasahujících celou EU.</w:t>
      </w: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Očekáváme, že po představení chybějících kvantitativních analýz a následné finální zprávy, bude ze strany Evropské komise zahájena diskuse s účastníky trhu s plynem o závěrech vyplývajících z</w:t>
      </w:r>
      <w:r>
        <w:rPr>
          <w:rFonts w:cs="Arial"/>
          <w:color w:val="222222"/>
          <w:sz w:val="24"/>
          <w:szCs w:val="24"/>
        </w:rPr>
        <w:t xml:space="preserve">e studie Quo </w:t>
      </w:r>
      <w:proofErr w:type="spellStart"/>
      <w:r>
        <w:rPr>
          <w:rFonts w:cs="Arial"/>
          <w:color w:val="222222"/>
          <w:sz w:val="24"/>
          <w:szCs w:val="24"/>
        </w:rPr>
        <w:t>Vadis</w:t>
      </w:r>
      <w:proofErr w:type="spellEnd"/>
      <w:r>
        <w:rPr>
          <w:rFonts w:cs="Arial"/>
          <w:color w:val="222222"/>
          <w:sz w:val="24"/>
          <w:szCs w:val="24"/>
        </w:rPr>
        <w:t>.</w:t>
      </w: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Z předložené předběžné zprávy a dílčích kvantitativních výsledků považuje ČPS následující témata jako zásadní pro budoucí diskuzi:</w:t>
      </w:r>
    </w:p>
    <w:p w:rsidR="00A617BD" w:rsidRPr="00A617BD" w:rsidRDefault="00A617BD" w:rsidP="00A617BD">
      <w:pPr>
        <w:spacing w:after="0" w:line="240" w:lineRule="auto"/>
        <w:jc w:val="both"/>
        <w:rPr>
          <w:rFonts w:cs="Arial"/>
          <w:color w:val="222222"/>
          <w:sz w:val="24"/>
          <w:szCs w:val="24"/>
        </w:rPr>
      </w:pPr>
    </w:p>
    <w:p w:rsidR="00A617BD" w:rsidRPr="00A617BD" w:rsidRDefault="00A617BD" w:rsidP="00A617BD">
      <w:pPr>
        <w:keepNext/>
        <w:spacing w:after="60" w:line="240" w:lineRule="auto"/>
        <w:jc w:val="both"/>
        <w:rPr>
          <w:rFonts w:cs="Arial"/>
          <w:b/>
          <w:color w:val="222222"/>
          <w:sz w:val="24"/>
          <w:szCs w:val="24"/>
        </w:rPr>
      </w:pPr>
      <w:r>
        <w:rPr>
          <w:rFonts w:cs="Arial"/>
          <w:b/>
          <w:color w:val="222222"/>
          <w:sz w:val="24"/>
          <w:szCs w:val="24"/>
        </w:rPr>
        <w:t>Obecná připomínka</w:t>
      </w: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 xml:space="preserve">Dle analýzy společnosti </w:t>
      </w:r>
      <w:proofErr w:type="spellStart"/>
      <w:r w:rsidRPr="00A617BD">
        <w:rPr>
          <w:rFonts w:cs="Arial"/>
          <w:color w:val="222222"/>
          <w:sz w:val="24"/>
          <w:szCs w:val="24"/>
        </w:rPr>
        <w:t>REKK</w:t>
      </w:r>
      <w:proofErr w:type="spellEnd"/>
      <w:r w:rsidRPr="00A617BD">
        <w:rPr>
          <w:rFonts w:cs="Arial"/>
          <w:color w:val="222222"/>
          <w:sz w:val="24"/>
          <w:szCs w:val="24"/>
        </w:rPr>
        <w:t xml:space="preserve"> dochází pouze k realokaci </w:t>
      </w:r>
      <w:proofErr w:type="spellStart"/>
      <w:r w:rsidRPr="00A617BD">
        <w:rPr>
          <w:rFonts w:cs="Arial"/>
          <w:color w:val="222222"/>
          <w:sz w:val="24"/>
          <w:szCs w:val="24"/>
        </w:rPr>
        <w:t>benefitů</w:t>
      </w:r>
      <w:proofErr w:type="spellEnd"/>
      <w:r w:rsidRPr="00A617BD">
        <w:rPr>
          <w:rFonts w:cs="Arial"/>
          <w:color w:val="222222"/>
          <w:sz w:val="24"/>
          <w:szCs w:val="24"/>
        </w:rPr>
        <w:t xml:space="preserve"> mezi jednotlivými trhy a ve většině modelových příkladů je celkový přínos nízký, respektive dokonce záporný. Celková poptávka po plynu vyjádřená ve velkoobchodních cenách, je cca 100 miliard EUR, přičemž modelovaný maximální teoretický přínos případné změny regulatorního rámce (kromě scénáře Strategické partnerství uvedeného v prezentaci společnosti </w:t>
      </w:r>
      <w:proofErr w:type="spellStart"/>
      <w:r w:rsidRPr="00A617BD">
        <w:rPr>
          <w:rFonts w:cs="Arial"/>
          <w:color w:val="222222"/>
          <w:sz w:val="24"/>
          <w:szCs w:val="24"/>
        </w:rPr>
        <w:t>REKK</w:t>
      </w:r>
      <w:proofErr w:type="spellEnd"/>
      <w:r w:rsidRPr="00A617BD">
        <w:rPr>
          <w:rFonts w:cs="Arial"/>
          <w:color w:val="222222"/>
          <w:sz w:val="24"/>
          <w:szCs w:val="24"/>
        </w:rPr>
        <w:t>) je menší než 1,4</w:t>
      </w:r>
      <w:r>
        <w:rPr>
          <w:rFonts w:cs="Arial"/>
          <w:color w:val="222222"/>
          <w:sz w:val="24"/>
          <w:szCs w:val="24"/>
        </w:rPr>
        <w:t xml:space="preserve"> </w:t>
      </w:r>
      <w:r w:rsidRPr="00A617BD">
        <w:rPr>
          <w:rFonts w:cs="Arial"/>
          <w:color w:val="222222"/>
          <w:sz w:val="24"/>
          <w:szCs w:val="24"/>
        </w:rPr>
        <w:t>%</w:t>
      </w:r>
      <w:r>
        <w:rPr>
          <w:rFonts w:cs="Arial"/>
          <w:color w:val="222222"/>
          <w:sz w:val="24"/>
          <w:szCs w:val="24"/>
        </w:rPr>
        <w:t>. To svědčí o </w:t>
      </w:r>
      <w:r w:rsidRPr="00A617BD">
        <w:rPr>
          <w:rFonts w:cs="Arial"/>
          <w:color w:val="222222"/>
          <w:sz w:val="24"/>
          <w:szCs w:val="24"/>
        </w:rPr>
        <w:t>tom, že evropský trh s plynem je rozvinutý a stávající regulační rámec dostatečný, což nevyžaduje žádné razantní a strukturální změny</w:t>
      </w:r>
      <w:r>
        <w:rPr>
          <w:rFonts w:cs="Arial"/>
          <w:color w:val="222222"/>
          <w:sz w:val="24"/>
          <w:szCs w:val="24"/>
        </w:rPr>
        <w:t>.</w:t>
      </w: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 xml:space="preserve">Modelování jednotlivých scénářů, použité vstupy a předpoklady nejsou podle nás stále jasně definované a mohou vést k nepřesným závěrům (např. vysoké </w:t>
      </w:r>
      <w:proofErr w:type="spellStart"/>
      <w:r w:rsidRPr="00A617BD">
        <w:rPr>
          <w:rFonts w:cs="Arial"/>
          <w:color w:val="222222"/>
          <w:sz w:val="24"/>
          <w:szCs w:val="24"/>
        </w:rPr>
        <w:t>spready</w:t>
      </w:r>
      <w:proofErr w:type="spellEnd"/>
      <w:r w:rsidRPr="00A617BD">
        <w:rPr>
          <w:rFonts w:cs="Arial"/>
          <w:color w:val="222222"/>
          <w:sz w:val="24"/>
          <w:szCs w:val="24"/>
        </w:rPr>
        <w:t xml:space="preserve"> mezi dobře propojenými trhy České republiky a Slovenska, cenový </w:t>
      </w:r>
      <w:proofErr w:type="spellStart"/>
      <w:r w:rsidRPr="00A617BD">
        <w:rPr>
          <w:rFonts w:cs="Arial"/>
          <w:color w:val="222222"/>
          <w:sz w:val="24"/>
          <w:szCs w:val="24"/>
        </w:rPr>
        <w:t>spread</w:t>
      </w:r>
      <w:proofErr w:type="spellEnd"/>
      <w:r w:rsidRPr="00A617BD">
        <w:rPr>
          <w:rFonts w:cs="Arial"/>
          <w:color w:val="222222"/>
          <w:sz w:val="24"/>
          <w:szCs w:val="24"/>
        </w:rPr>
        <w:t xml:space="preserve"> mezi českým a rakouským trhem, nesoulad mezi historickým a modelovým podílem LNG na dodávkách plynu, relevance umělé hranice kapacitního přetížení apod.)</w:t>
      </w:r>
      <w:r>
        <w:rPr>
          <w:rFonts w:cs="Arial"/>
          <w:color w:val="222222"/>
          <w:sz w:val="24"/>
          <w:szCs w:val="24"/>
        </w:rPr>
        <w:t>.</w:t>
      </w: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Ve světle těchto skutečností je velice diskutabilní uvažovat o takových principiálních změnách modelu trhu s plynem, j</w:t>
      </w:r>
      <w:r>
        <w:rPr>
          <w:rFonts w:cs="Arial"/>
          <w:color w:val="222222"/>
          <w:sz w:val="24"/>
          <w:szCs w:val="24"/>
        </w:rPr>
        <w:t>ej</w:t>
      </w:r>
      <w:r w:rsidRPr="00A617BD">
        <w:rPr>
          <w:rFonts w:cs="Arial"/>
          <w:color w:val="222222"/>
          <w:sz w:val="24"/>
          <w:szCs w:val="24"/>
        </w:rPr>
        <w:t>ichž dopady se jeví jako zanedbatelně pozitivní, respektive záporné. Navíc návrhy až extrémních řešení např. v podobě tzv. „resetu rezervovaných kapacit“ jsou zcela nepodložené a mohou trhu s plynem spíše uškodit.</w:t>
      </w:r>
    </w:p>
    <w:p w:rsidR="00A617BD" w:rsidRPr="00A617BD" w:rsidRDefault="00A617BD" w:rsidP="00A617BD">
      <w:pPr>
        <w:spacing w:after="0" w:line="240" w:lineRule="auto"/>
        <w:jc w:val="both"/>
        <w:rPr>
          <w:rFonts w:cs="Arial"/>
          <w:color w:val="222222"/>
          <w:sz w:val="24"/>
          <w:szCs w:val="24"/>
        </w:rPr>
      </w:pPr>
    </w:p>
    <w:p w:rsidR="00A617BD" w:rsidRPr="00A617BD" w:rsidRDefault="00A617BD" w:rsidP="00A617BD">
      <w:pPr>
        <w:keepNext/>
        <w:spacing w:after="60" w:line="240" w:lineRule="auto"/>
        <w:jc w:val="both"/>
        <w:rPr>
          <w:rFonts w:cs="Arial"/>
          <w:b/>
          <w:color w:val="222222"/>
          <w:sz w:val="24"/>
          <w:szCs w:val="24"/>
        </w:rPr>
      </w:pPr>
      <w:r w:rsidRPr="00A617BD">
        <w:rPr>
          <w:rFonts w:cs="Arial"/>
          <w:b/>
          <w:color w:val="222222"/>
          <w:sz w:val="24"/>
          <w:szCs w:val="24"/>
        </w:rPr>
        <w:t>Analýza fungování EU velkoobchodního trhu</w:t>
      </w:r>
    </w:p>
    <w:p w:rsidR="00A617BD" w:rsidRPr="00A617BD" w:rsidRDefault="00A617BD" w:rsidP="00A617BD">
      <w:pPr>
        <w:pStyle w:val="Default"/>
        <w:jc w:val="both"/>
        <w:rPr>
          <w:rFonts w:asciiTheme="minorHAnsi" w:hAnsiTheme="minorHAnsi" w:cstheme="minorHAnsi"/>
          <w:color w:val="222222"/>
        </w:rPr>
      </w:pPr>
      <w:r w:rsidRPr="00A617BD">
        <w:rPr>
          <w:rFonts w:asciiTheme="minorHAnsi" w:hAnsiTheme="minorHAnsi" w:cs="Arial"/>
          <w:color w:val="222222"/>
        </w:rPr>
        <w:t xml:space="preserve">V úvodu se studie zabývá analýzou důvodů pro výši cen zemního plynu na evropském trhu a jeho funkčností. S mnohými závěry lze souhlasit. Nikoli ovšem s tvrzením, že od roku 2009 přetrvávající vyšší ceny v EU, oproti USA, jsou způsobeny neschopností EU odklonit se od dlouhodobých </w:t>
      </w:r>
      <w:r w:rsidRPr="00A617BD">
        <w:rPr>
          <w:rFonts w:asciiTheme="minorHAnsi" w:hAnsiTheme="minorHAnsi" w:cs="Arial"/>
          <w:color w:val="222222"/>
        </w:rPr>
        <w:lastRenderedPageBreak/>
        <w:t>kontraktů navázaných na cenu ropy a nedostatečnou diverzifikací zdrojových teritorií zemního plynu.</w:t>
      </w:r>
      <w:r w:rsidRPr="00A617BD">
        <w:rPr>
          <w:rFonts w:asciiTheme="minorHAnsi" w:hAnsiTheme="minorHAnsi" w:cstheme="minorHAnsi"/>
          <w:color w:val="222222"/>
        </w:rPr>
        <w:t xml:space="preserve"> Je zavádějící porovnávat evropský a americký trh. Situace v USA se od konce roku 2007 razantně změnila nástupem těžby břidličného plynu. Aktuálně domácí těžba v USA objemově pokrývá kolem 90</w:t>
      </w:r>
      <w:r w:rsidR="00E04D83">
        <w:rPr>
          <w:rFonts w:asciiTheme="minorHAnsi" w:hAnsiTheme="minorHAnsi" w:cstheme="minorHAnsi"/>
          <w:color w:val="222222"/>
        </w:rPr>
        <w:t xml:space="preserve"> </w:t>
      </w:r>
      <w:r w:rsidRPr="00A617BD">
        <w:rPr>
          <w:rFonts w:asciiTheme="minorHAnsi" w:hAnsiTheme="minorHAnsi" w:cstheme="minorHAnsi"/>
          <w:color w:val="222222"/>
        </w:rPr>
        <w:t>% tamní spotřeby a kol</w:t>
      </w:r>
      <w:r w:rsidR="00E04D83">
        <w:rPr>
          <w:rFonts w:asciiTheme="minorHAnsi" w:hAnsiTheme="minorHAnsi" w:cstheme="minorHAnsi"/>
          <w:color w:val="222222"/>
        </w:rPr>
        <w:t>em</w:t>
      </w:r>
      <w:r w:rsidRPr="00A617BD">
        <w:rPr>
          <w:rFonts w:asciiTheme="minorHAnsi" w:hAnsiTheme="minorHAnsi" w:cstheme="minorHAnsi"/>
          <w:color w:val="222222"/>
        </w:rPr>
        <w:t xml:space="preserve"> 90</w:t>
      </w:r>
      <w:r w:rsidR="00E04D83">
        <w:rPr>
          <w:rFonts w:asciiTheme="minorHAnsi" w:hAnsiTheme="minorHAnsi" w:cstheme="minorHAnsi"/>
          <w:color w:val="222222"/>
        </w:rPr>
        <w:t xml:space="preserve"> </w:t>
      </w:r>
      <w:r w:rsidRPr="00A617BD">
        <w:rPr>
          <w:rFonts w:asciiTheme="minorHAnsi" w:hAnsiTheme="minorHAnsi" w:cstheme="minorHAnsi"/>
          <w:color w:val="222222"/>
        </w:rPr>
        <w:t>% dodávaného plynu do USA je původem z Kanady. Nelze souhlasit s návrhem na vynucování evropského práva u našich dodavatelů, což je v rozporu se základními principy mezinárodního práva.</w:t>
      </w:r>
    </w:p>
    <w:p w:rsidR="00A617BD" w:rsidRPr="00A617BD" w:rsidRDefault="00A617BD" w:rsidP="00A617BD">
      <w:pPr>
        <w:spacing w:after="0" w:line="240" w:lineRule="auto"/>
        <w:jc w:val="both"/>
        <w:rPr>
          <w:rFonts w:cs="Arial"/>
          <w:color w:val="222222"/>
          <w:sz w:val="24"/>
          <w:szCs w:val="24"/>
        </w:rPr>
      </w:pPr>
    </w:p>
    <w:p w:rsidR="00A617BD" w:rsidRPr="00A617BD" w:rsidRDefault="00A617BD" w:rsidP="00A617BD">
      <w:pPr>
        <w:keepNext/>
        <w:spacing w:after="60" w:line="240" w:lineRule="auto"/>
        <w:jc w:val="both"/>
        <w:rPr>
          <w:rFonts w:cs="Arial"/>
          <w:b/>
          <w:color w:val="222222"/>
          <w:sz w:val="24"/>
          <w:szCs w:val="24"/>
        </w:rPr>
      </w:pPr>
      <w:r w:rsidRPr="00A617BD">
        <w:rPr>
          <w:rFonts w:cs="Arial"/>
          <w:b/>
          <w:color w:val="222222"/>
          <w:sz w:val="24"/>
          <w:szCs w:val="24"/>
        </w:rPr>
        <w:t>Scénář Tarifní reforma</w:t>
      </w: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 xml:space="preserve">Jedním z hlavních principů tohoto scénáře je stanovení nulových vnitřních </w:t>
      </w:r>
      <w:proofErr w:type="spellStart"/>
      <w:r w:rsidRPr="00A617BD">
        <w:rPr>
          <w:rFonts w:cs="Arial"/>
          <w:color w:val="222222"/>
          <w:sz w:val="24"/>
          <w:szCs w:val="24"/>
        </w:rPr>
        <w:t>přeshraničních</w:t>
      </w:r>
      <w:proofErr w:type="spellEnd"/>
      <w:r w:rsidRPr="00A617BD">
        <w:rPr>
          <w:rFonts w:cs="Arial"/>
          <w:color w:val="222222"/>
          <w:sz w:val="24"/>
          <w:szCs w:val="24"/>
        </w:rPr>
        <w:t xml:space="preserve"> tarifů. Jsme toho názoru, na základě prezentovaných výsledků, že toto opatření může vést ke zvýšené homogennosti velkoobchodních cen, nicméně ne nezbytně k jejich nižní (konkurenční) úrovni, a to zejména na příhraničních trzích EU, kde mohou být velkoobchodní ceny v důsledku zvýšení vstupních tarifů vyšší. Vezme-li v úvahu implementační náklady tohoto scénáře, výsledný efekt bude s největší pravděpodobností negativní.</w:t>
      </w:r>
    </w:p>
    <w:p w:rsidR="00A617BD" w:rsidRPr="00A617BD" w:rsidRDefault="00A617BD" w:rsidP="00A617BD">
      <w:pPr>
        <w:spacing w:after="0" w:line="240" w:lineRule="auto"/>
        <w:jc w:val="both"/>
        <w:rPr>
          <w:rFonts w:cs="Arial"/>
          <w:color w:val="222222"/>
          <w:sz w:val="24"/>
          <w:szCs w:val="24"/>
        </w:rPr>
      </w:pPr>
    </w:p>
    <w:p w:rsidR="00A617BD" w:rsidRPr="00A617BD" w:rsidRDefault="00A617BD" w:rsidP="00A617BD">
      <w:pPr>
        <w:keepNext/>
        <w:spacing w:after="60" w:line="240" w:lineRule="auto"/>
        <w:jc w:val="both"/>
        <w:rPr>
          <w:rFonts w:cs="Arial"/>
          <w:b/>
          <w:color w:val="222222"/>
          <w:sz w:val="24"/>
          <w:szCs w:val="24"/>
        </w:rPr>
      </w:pPr>
      <w:r w:rsidRPr="00A617BD">
        <w:rPr>
          <w:rFonts w:cs="Arial"/>
          <w:b/>
          <w:color w:val="222222"/>
          <w:sz w:val="24"/>
          <w:szCs w:val="24"/>
        </w:rPr>
        <w:t>Dlouhodobé kapacitní kontr</w:t>
      </w:r>
      <w:r w:rsidR="00E04D83">
        <w:rPr>
          <w:rFonts w:cs="Arial"/>
          <w:b/>
          <w:color w:val="222222"/>
          <w:sz w:val="24"/>
          <w:szCs w:val="24"/>
        </w:rPr>
        <w:t>akty</w:t>
      </w:r>
    </w:p>
    <w:p w:rsidR="00A617BD" w:rsidRPr="00A617BD" w:rsidRDefault="00A617BD" w:rsidP="00A617BD">
      <w:pPr>
        <w:spacing w:after="0" w:line="240" w:lineRule="auto"/>
        <w:jc w:val="both"/>
        <w:rPr>
          <w:rFonts w:cstheme="minorHAnsi"/>
          <w:color w:val="222222"/>
          <w:sz w:val="24"/>
          <w:szCs w:val="24"/>
        </w:rPr>
      </w:pPr>
      <w:r w:rsidRPr="00A617BD">
        <w:rPr>
          <w:rFonts w:cstheme="minorHAnsi"/>
          <w:color w:val="222222"/>
          <w:sz w:val="24"/>
          <w:szCs w:val="24"/>
        </w:rPr>
        <w:t xml:space="preserve">Předběžné výsledky studie </w:t>
      </w:r>
      <w:r w:rsidR="00E04D83">
        <w:rPr>
          <w:rFonts w:cstheme="minorHAnsi"/>
          <w:color w:val="222222"/>
          <w:sz w:val="24"/>
          <w:szCs w:val="24"/>
        </w:rPr>
        <w:t>definují dlouhodobé kontrakty (</w:t>
      </w:r>
      <w:proofErr w:type="spellStart"/>
      <w:r w:rsidR="00E04D83">
        <w:rPr>
          <w:rFonts w:cstheme="minorHAnsi"/>
          <w:color w:val="222222"/>
          <w:sz w:val="24"/>
          <w:szCs w:val="24"/>
        </w:rPr>
        <w:t>LTC</w:t>
      </w:r>
      <w:proofErr w:type="spellEnd"/>
      <w:r w:rsidRPr="00A617BD">
        <w:rPr>
          <w:rFonts w:cstheme="minorHAnsi"/>
          <w:color w:val="222222"/>
          <w:sz w:val="24"/>
          <w:szCs w:val="24"/>
        </w:rPr>
        <w:t xml:space="preserve">) jako jeden z negativních faktorů ovlivňující funkci trhu Nesdílíme názor, že </w:t>
      </w:r>
      <w:proofErr w:type="spellStart"/>
      <w:r w:rsidRPr="00A617BD">
        <w:rPr>
          <w:rFonts w:cstheme="minorHAnsi"/>
          <w:color w:val="222222"/>
          <w:sz w:val="24"/>
          <w:szCs w:val="24"/>
        </w:rPr>
        <w:t>LTC</w:t>
      </w:r>
      <w:proofErr w:type="spellEnd"/>
      <w:r w:rsidRPr="00A617BD">
        <w:rPr>
          <w:rFonts w:cstheme="minorHAnsi"/>
          <w:color w:val="222222"/>
          <w:sz w:val="24"/>
          <w:szCs w:val="24"/>
        </w:rPr>
        <w:t xml:space="preserve"> mohou vést k uzavření trhu. Domníváme se, na základě zkušeností provozovatele přepravní soustavy z hraničních bodů </w:t>
      </w:r>
      <w:proofErr w:type="spellStart"/>
      <w:r w:rsidRPr="00A617BD">
        <w:rPr>
          <w:rFonts w:cstheme="minorHAnsi"/>
          <w:color w:val="222222"/>
          <w:sz w:val="24"/>
          <w:szCs w:val="24"/>
        </w:rPr>
        <w:t>Brandov</w:t>
      </w:r>
      <w:proofErr w:type="spellEnd"/>
      <w:r w:rsidRPr="00A617BD">
        <w:rPr>
          <w:rFonts w:cstheme="minorHAnsi"/>
          <w:color w:val="222222"/>
          <w:sz w:val="24"/>
          <w:szCs w:val="24"/>
        </w:rPr>
        <w:t xml:space="preserve">, </w:t>
      </w:r>
      <w:proofErr w:type="spellStart"/>
      <w:r w:rsidRPr="00A617BD">
        <w:rPr>
          <w:rFonts w:cstheme="minorHAnsi"/>
          <w:color w:val="222222"/>
          <w:sz w:val="24"/>
          <w:szCs w:val="24"/>
        </w:rPr>
        <w:t>Waidhaus</w:t>
      </w:r>
      <w:proofErr w:type="spellEnd"/>
      <w:r w:rsidRPr="00A617BD">
        <w:rPr>
          <w:rFonts w:cstheme="minorHAnsi"/>
          <w:color w:val="222222"/>
          <w:sz w:val="24"/>
          <w:szCs w:val="24"/>
        </w:rPr>
        <w:t xml:space="preserve"> nebo </w:t>
      </w:r>
      <w:proofErr w:type="spellStart"/>
      <w:r w:rsidRPr="00A617BD">
        <w:rPr>
          <w:rFonts w:cstheme="minorHAnsi"/>
          <w:color w:val="222222"/>
          <w:sz w:val="24"/>
          <w:szCs w:val="24"/>
        </w:rPr>
        <w:t>Lanžhot</w:t>
      </w:r>
      <w:proofErr w:type="spellEnd"/>
      <w:r w:rsidRPr="00A617BD">
        <w:rPr>
          <w:rFonts w:cstheme="minorHAnsi"/>
          <w:color w:val="222222"/>
          <w:sz w:val="24"/>
          <w:szCs w:val="24"/>
        </w:rPr>
        <w:t>, že pokud bude na trhu dostatek kapacit, k uzavření trhu nedojde. Pravidla pro prodej kapacity, která stanovuje nařízení Komise</w:t>
      </w:r>
      <w:r w:rsidRPr="00A617BD">
        <w:rPr>
          <w:rFonts w:cstheme="minorHAnsi"/>
          <w:sz w:val="24"/>
          <w:szCs w:val="24"/>
        </w:rPr>
        <w:t xml:space="preserve"> </w:t>
      </w:r>
      <w:r w:rsidRPr="00A617BD">
        <w:rPr>
          <w:rFonts w:cstheme="minorHAnsi"/>
          <w:bCs/>
          <w:sz w:val="24"/>
          <w:szCs w:val="24"/>
        </w:rPr>
        <w:t>2017/459, kterým se zavádí kodex sítě pro mechanismy přidělování kapacity v plynárenských přepravních soustavách (tzv.</w:t>
      </w:r>
      <w:r w:rsidRPr="00A617BD">
        <w:rPr>
          <w:rFonts w:cstheme="minorHAnsi"/>
          <w:b/>
          <w:bCs/>
          <w:sz w:val="24"/>
          <w:szCs w:val="24"/>
        </w:rPr>
        <w:t xml:space="preserve"> </w:t>
      </w:r>
      <w:r w:rsidRPr="00A617BD">
        <w:rPr>
          <w:rFonts w:cstheme="minorHAnsi"/>
          <w:color w:val="222222"/>
          <w:sz w:val="24"/>
          <w:szCs w:val="24"/>
        </w:rPr>
        <w:t xml:space="preserve">síťový kodex </w:t>
      </w:r>
      <w:proofErr w:type="spellStart"/>
      <w:r w:rsidRPr="00A617BD">
        <w:rPr>
          <w:rFonts w:cstheme="minorHAnsi"/>
          <w:color w:val="222222"/>
          <w:sz w:val="24"/>
          <w:szCs w:val="24"/>
        </w:rPr>
        <w:t>NC</w:t>
      </w:r>
      <w:proofErr w:type="spellEnd"/>
      <w:r w:rsidRPr="00A617BD">
        <w:rPr>
          <w:rFonts w:cstheme="minorHAnsi"/>
          <w:color w:val="222222"/>
          <w:sz w:val="24"/>
          <w:szCs w:val="24"/>
        </w:rPr>
        <w:t xml:space="preserve"> CAM), garantují minimálně 10</w:t>
      </w:r>
      <w:r w:rsidR="00E04D83">
        <w:rPr>
          <w:rFonts w:cstheme="minorHAnsi"/>
          <w:color w:val="222222"/>
          <w:sz w:val="24"/>
          <w:szCs w:val="24"/>
        </w:rPr>
        <w:t xml:space="preserve"> </w:t>
      </w:r>
      <w:r w:rsidRPr="00A617BD">
        <w:rPr>
          <w:rFonts w:cstheme="minorHAnsi"/>
          <w:color w:val="222222"/>
          <w:sz w:val="24"/>
          <w:szCs w:val="24"/>
        </w:rPr>
        <w:t>% kapacity volné pro krátkodobé obchodování a dalších 10</w:t>
      </w:r>
      <w:r w:rsidR="00E04D83">
        <w:rPr>
          <w:rFonts w:cstheme="minorHAnsi"/>
          <w:color w:val="222222"/>
          <w:sz w:val="24"/>
          <w:szCs w:val="24"/>
        </w:rPr>
        <w:t xml:space="preserve"> </w:t>
      </w:r>
      <w:r w:rsidRPr="00A617BD">
        <w:rPr>
          <w:rFonts w:cstheme="minorHAnsi"/>
          <w:color w:val="222222"/>
          <w:sz w:val="24"/>
          <w:szCs w:val="24"/>
        </w:rPr>
        <w:t>% pro stře</w:t>
      </w:r>
      <w:r w:rsidR="00E04D83">
        <w:rPr>
          <w:rFonts w:cstheme="minorHAnsi"/>
          <w:color w:val="222222"/>
          <w:sz w:val="24"/>
          <w:szCs w:val="24"/>
        </w:rPr>
        <w:t>dnědobé obchodování (do 5 let).</w:t>
      </w:r>
    </w:p>
    <w:p w:rsidR="00A617BD" w:rsidRPr="00A617BD" w:rsidRDefault="00A617BD" w:rsidP="00A617BD">
      <w:pPr>
        <w:spacing w:after="0" w:line="240" w:lineRule="auto"/>
        <w:jc w:val="both"/>
        <w:rPr>
          <w:rFonts w:cstheme="minorHAnsi"/>
          <w:color w:val="222222"/>
          <w:sz w:val="24"/>
          <w:szCs w:val="24"/>
        </w:rPr>
      </w:pPr>
      <w:r w:rsidRPr="00A617BD">
        <w:rPr>
          <w:rFonts w:cstheme="minorHAnsi"/>
          <w:color w:val="222222"/>
          <w:sz w:val="24"/>
          <w:szCs w:val="24"/>
        </w:rPr>
        <w:t xml:space="preserve">Kromě toho, existují mechanismy přidělování kapacity pro přírůstkovou kapacitu (tzv. </w:t>
      </w:r>
      <w:proofErr w:type="spellStart"/>
      <w:r w:rsidRPr="00A617BD">
        <w:rPr>
          <w:rFonts w:cstheme="minorHAnsi"/>
          <w:color w:val="222222"/>
          <w:sz w:val="24"/>
          <w:szCs w:val="24"/>
        </w:rPr>
        <w:t>incremental</w:t>
      </w:r>
      <w:proofErr w:type="spellEnd"/>
      <w:r w:rsidRPr="00A617BD">
        <w:rPr>
          <w:rFonts w:cstheme="minorHAnsi"/>
          <w:color w:val="222222"/>
          <w:sz w:val="24"/>
          <w:szCs w:val="24"/>
        </w:rPr>
        <w:t xml:space="preserve"> </w:t>
      </w:r>
      <w:proofErr w:type="spellStart"/>
      <w:r w:rsidRPr="00A617BD">
        <w:rPr>
          <w:rFonts w:cstheme="minorHAnsi"/>
          <w:color w:val="222222"/>
          <w:sz w:val="24"/>
          <w:szCs w:val="24"/>
        </w:rPr>
        <w:t>capacity</w:t>
      </w:r>
      <w:proofErr w:type="spellEnd"/>
      <w:r w:rsidRPr="00A617BD">
        <w:rPr>
          <w:rFonts w:cstheme="minorHAnsi"/>
          <w:color w:val="222222"/>
          <w:sz w:val="24"/>
          <w:szCs w:val="24"/>
        </w:rPr>
        <w:t xml:space="preserve">) pro situace, kdy není k dispozici dostatečná fyzická přepravní kapacita a mechanismy </w:t>
      </w:r>
      <w:proofErr w:type="spellStart"/>
      <w:r w:rsidRPr="00A617BD">
        <w:rPr>
          <w:rFonts w:cstheme="minorHAnsi"/>
          <w:color w:val="222222"/>
          <w:sz w:val="24"/>
          <w:szCs w:val="24"/>
        </w:rPr>
        <w:t>CMP</w:t>
      </w:r>
      <w:proofErr w:type="spellEnd"/>
      <w:r w:rsidRPr="00A617BD">
        <w:rPr>
          <w:rFonts w:cstheme="minorHAnsi"/>
          <w:color w:val="222222"/>
          <w:sz w:val="24"/>
          <w:szCs w:val="24"/>
        </w:rPr>
        <w:t xml:space="preserve"> (</w:t>
      </w:r>
      <w:proofErr w:type="spellStart"/>
      <w:r w:rsidRPr="00A617BD">
        <w:rPr>
          <w:rFonts w:cstheme="minorHAnsi"/>
          <w:color w:val="222222"/>
          <w:sz w:val="24"/>
          <w:szCs w:val="24"/>
        </w:rPr>
        <w:t>congestion</w:t>
      </w:r>
      <w:proofErr w:type="spellEnd"/>
      <w:r w:rsidRPr="00A617BD">
        <w:rPr>
          <w:rFonts w:cstheme="minorHAnsi"/>
          <w:color w:val="222222"/>
          <w:sz w:val="24"/>
          <w:szCs w:val="24"/>
        </w:rPr>
        <w:t xml:space="preserve"> management </w:t>
      </w:r>
      <w:proofErr w:type="spellStart"/>
      <w:r w:rsidRPr="00A617BD">
        <w:rPr>
          <w:rFonts w:cstheme="minorHAnsi"/>
          <w:color w:val="222222"/>
          <w:sz w:val="24"/>
          <w:szCs w:val="24"/>
        </w:rPr>
        <w:t>procedure</w:t>
      </w:r>
      <w:proofErr w:type="spellEnd"/>
      <w:r w:rsidRPr="00A617BD">
        <w:rPr>
          <w:rFonts w:cstheme="minorHAnsi"/>
          <w:color w:val="222222"/>
          <w:sz w:val="24"/>
          <w:szCs w:val="24"/>
        </w:rPr>
        <w:t>) pro situace, kdy kontrahovaná přepravní kapacita není využívaná.</w:t>
      </w: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Rozvoj plynárenské infrastruktury vyžaduje vysoké finanční závazky a silné investiční signály. Domníváme se, že současný tržní přístup založený na výše zmíněném mechanismu přidělování přírůstkové kapacity poskytuje rovnováhu mezi krátkodobými a dlouhodobými požadavky</w:t>
      </w:r>
      <w:r>
        <w:rPr>
          <w:rFonts w:cs="Arial"/>
          <w:color w:val="222222"/>
          <w:sz w:val="24"/>
          <w:szCs w:val="24"/>
        </w:rPr>
        <w:t xml:space="preserve"> a </w:t>
      </w:r>
      <w:r w:rsidRPr="00A617BD">
        <w:rPr>
          <w:rFonts w:cs="Arial"/>
          <w:color w:val="222222"/>
          <w:sz w:val="24"/>
          <w:szCs w:val="24"/>
        </w:rPr>
        <w:t xml:space="preserve">zároveň umožňuje dodatečný prostor pro rozvoj a údržbu plynárenských </w:t>
      </w:r>
      <w:r w:rsidR="00E04D83">
        <w:rPr>
          <w:rFonts w:cs="Arial"/>
          <w:color w:val="222222"/>
          <w:sz w:val="24"/>
          <w:szCs w:val="24"/>
        </w:rPr>
        <w:t>sítí.</w:t>
      </w:r>
    </w:p>
    <w:p w:rsidR="00A617BD" w:rsidRPr="00A617BD" w:rsidRDefault="00A617BD" w:rsidP="00A617BD">
      <w:pPr>
        <w:spacing w:after="0" w:line="240" w:lineRule="auto"/>
        <w:jc w:val="both"/>
        <w:rPr>
          <w:rFonts w:cs="Arial"/>
          <w:color w:val="222222"/>
          <w:sz w:val="24"/>
          <w:szCs w:val="24"/>
        </w:rPr>
      </w:pPr>
    </w:p>
    <w:p w:rsidR="00A617BD" w:rsidRPr="00A617BD" w:rsidRDefault="00A617BD" w:rsidP="00A617BD">
      <w:pPr>
        <w:keepNext/>
        <w:spacing w:after="60" w:line="240" w:lineRule="auto"/>
        <w:jc w:val="both"/>
        <w:rPr>
          <w:rFonts w:cs="Arial"/>
          <w:b/>
          <w:color w:val="222222"/>
          <w:sz w:val="24"/>
          <w:szCs w:val="24"/>
        </w:rPr>
      </w:pPr>
      <w:r w:rsidRPr="00A617BD">
        <w:rPr>
          <w:rFonts w:cs="Arial"/>
          <w:b/>
          <w:color w:val="222222"/>
          <w:sz w:val="24"/>
          <w:szCs w:val="24"/>
        </w:rPr>
        <w:t>Cenová konvergence</w:t>
      </w: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 xml:space="preserve">Ve studii Quo </w:t>
      </w:r>
      <w:proofErr w:type="spellStart"/>
      <w:r w:rsidRPr="00A617BD">
        <w:rPr>
          <w:rFonts w:cs="Arial"/>
          <w:color w:val="222222"/>
          <w:sz w:val="24"/>
          <w:szCs w:val="24"/>
        </w:rPr>
        <w:t>Vadis</w:t>
      </w:r>
      <w:proofErr w:type="spellEnd"/>
      <w:r w:rsidRPr="00A617BD">
        <w:rPr>
          <w:rFonts w:cs="Arial"/>
          <w:color w:val="222222"/>
          <w:sz w:val="24"/>
          <w:szCs w:val="24"/>
        </w:rPr>
        <w:t xml:space="preserve"> se uvádí, že ceny dlouhodobých kontraktů a tržní ceny konvergují (snížení cenového rozdílu), z čehož profitují evropští zákazníci. Domníváme se, že tato konvergence není plně zohledněna a modelované ceny nadhodnocují případný </w:t>
      </w:r>
      <w:r>
        <w:rPr>
          <w:rFonts w:cs="Arial"/>
          <w:color w:val="222222"/>
          <w:sz w:val="24"/>
          <w:szCs w:val="24"/>
        </w:rPr>
        <w:t>potenciál (např. ceny mezi ČR a </w:t>
      </w:r>
      <w:r w:rsidRPr="00A617BD">
        <w:rPr>
          <w:rFonts w:cs="Arial"/>
          <w:color w:val="222222"/>
          <w:sz w:val="24"/>
          <w:szCs w:val="24"/>
        </w:rPr>
        <w:t>Německem).</w:t>
      </w:r>
    </w:p>
    <w:p w:rsidR="00A617BD" w:rsidRPr="00A617BD" w:rsidRDefault="00A617BD" w:rsidP="00A617BD">
      <w:pPr>
        <w:spacing w:after="0" w:line="240" w:lineRule="auto"/>
        <w:jc w:val="both"/>
        <w:rPr>
          <w:rFonts w:cs="Arial"/>
          <w:color w:val="222222"/>
          <w:sz w:val="24"/>
          <w:szCs w:val="24"/>
        </w:rPr>
      </w:pPr>
    </w:p>
    <w:p w:rsidR="00A617BD" w:rsidRPr="00A617BD" w:rsidRDefault="00A617BD" w:rsidP="00A617BD">
      <w:pPr>
        <w:keepNext/>
        <w:spacing w:after="60" w:line="240" w:lineRule="auto"/>
        <w:jc w:val="both"/>
        <w:rPr>
          <w:rFonts w:cs="Arial"/>
          <w:b/>
          <w:color w:val="222222"/>
          <w:sz w:val="24"/>
          <w:szCs w:val="24"/>
        </w:rPr>
      </w:pPr>
      <w:r w:rsidRPr="00A617BD">
        <w:rPr>
          <w:rFonts w:cs="Arial"/>
          <w:b/>
          <w:color w:val="222222"/>
          <w:sz w:val="24"/>
          <w:szCs w:val="24"/>
        </w:rPr>
        <w:t xml:space="preserve">Systémová omezení </w:t>
      </w: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Domníváme se, že definice nedostatku kapacity (bod je systémově omezen, platí-li definice „rezervace &gt;80 % technické kapacity“) je velmi konzervativní a nereflektuje skutečnou situaci. Díky tomu, že 20 % kapacity propojovacích bodů zůstává k dispozici, nevzniká pro nové hráče bariéra pro vstup na příslušný trh. Jsme názoru, že systémová omezení nejsou problémem, který je třeba řešit jakýmikoli novými iniciativami.</w:t>
      </w:r>
    </w:p>
    <w:p w:rsidR="00A617BD" w:rsidRPr="00A617BD" w:rsidRDefault="00A617BD" w:rsidP="00A617BD">
      <w:pPr>
        <w:spacing w:after="0" w:line="240" w:lineRule="auto"/>
        <w:jc w:val="both"/>
        <w:rPr>
          <w:sz w:val="24"/>
          <w:szCs w:val="24"/>
        </w:rPr>
      </w:pPr>
    </w:p>
    <w:p w:rsidR="00A617BD" w:rsidRPr="00A617BD" w:rsidRDefault="00A617BD" w:rsidP="00A617BD">
      <w:pPr>
        <w:keepNext/>
        <w:spacing w:after="60" w:line="240" w:lineRule="auto"/>
        <w:jc w:val="both"/>
        <w:rPr>
          <w:rFonts w:cs="Arial"/>
          <w:b/>
          <w:color w:val="222222"/>
          <w:sz w:val="24"/>
          <w:szCs w:val="24"/>
        </w:rPr>
      </w:pPr>
      <w:r w:rsidRPr="00A617BD">
        <w:rPr>
          <w:rFonts w:cs="Arial"/>
          <w:b/>
          <w:color w:val="222222"/>
          <w:sz w:val="24"/>
          <w:szCs w:val="24"/>
        </w:rPr>
        <w:lastRenderedPageBreak/>
        <w:t>EU / regionální nezávislý systémový operátor</w:t>
      </w:r>
    </w:p>
    <w:p w:rsidR="00A617BD" w:rsidRPr="00A617BD" w:rsidRDefault="00A617BD" w:rsidP="00A617BD">
      <w:pPr>
        <w:spacing w:after="0" w:line="240" w:lineRule="auto"/>
        <w:jc w:val="both"/>
        <w:rPr>
          <w:rFonts w:cs="Arial"/>
          <w:color w:val="222222"/>
          <w:sz w:val="24"/>
          <w:szCs w:val="24"/>
        </w:rPr>
      </w:pPr>
      <w:r w:rsidRPr="00A617BD">
        <w:rPr>
          <w:rFonts w:cs="Arial"/>
          <w:color w:val="222222"/>
          <w:sz w:val="24"/>
          <w:szCs w:val="24"/>
        </w:rPr>
        <w:t>Domníváme se, že neexistuje relevantní zdůvodnění pro zavedení panevropského nebo regionálního nezávislého systémového operátora. Vyjádření týkající se zvýšené účinnosti a posílení integrace trhů musí být dále zdůvodněno, neboť není zřejmé, o jaké efektivitě se hovoří. Domníváme se, že provozovatelé přepravních soustav spolupracují efektivně již dnes, a je-li potřeba, tak se příslušná regionální koordinace již uplatňuje, např. pro účely zajištění bezpečnosti dodávek. Není tedy nutné další koordinaci a spolupráci vynucovat evropským právním předpisem.</w:t>
      </w:r>
    </w:p>
    <w:p w:rsidR="00CC6DCE" w:rsidRDefault="00CC6DCE" w:rsidP="0031258A">
      <w:pPr>
        <w:spacing w:after="0" w:line="240" w:lineRule="auto"/>
        <w:jc w:val="both"/>
        <w:rPr>
          <w:sz w:val="24"/>
          <w:szCs w:val="24"/>
        </w:rPr>
      </w:pPr>
    </w:p>
    <w:p w:rsidR="00CC6DCE" w:rsidRDefault="00CC6DCE" w:rsidP="0031258A">
      <w:pPr>
        <w:spacing w:after="0" w:line="240" w:lineRule="auto"/>
        <w:jc w:val="both"/>
        <w:rPr>
          <w:sz w:val="24"/>
          <w:szCs w:val="24"/>
        </w:rPr>
      </w:pPr>
    </w:p>
    <w:p w:rsidR="00CC6DCE" w:rsidRPr="0031258A" w:rsidRDefault="00CC6DCE" w:rsidP="0031258A">
      <w:pPr>
        <w:spacing w:after="0" w:line="240" w:lineRule="auto"/>
        <w:jc w:val="both"/>
        <w:rPr>
          <w:sz w:val="24"/>
          <w:szCs w:val="24"/>
        </w:rPr>
      </w:pPr>
    </w:p>
    <w:p w:rsidR="0031258A" w:rsidRPr="00CC6DCE" w:rsidRDefault="0031258A" w:rsidP="0031258A">
      <w:pPr>
        <w:spacing w:after="0" w:line="240" w:lineRule="auto"/>
        <w:jc w:val="both"/>
        <w:rPr>
          <w:sz w:val="24"/>
          <w:szCs w:val="24"/>
        </w:rPr>
      </w:pPr>
      <w:r w:rsidRPr="00CC6DCE">
        <w:rPr>
          <w:sz w:val="24"/>
          <w:szCs w:val="24"/>
        </w:rPr>
        <w:t xml:space="preserve">Praha </w:t>
      </w:r>
      <w:r w:rsidR="00A617BD">
        <w:rPr>
          <w:sz w:val="24"/>
          <w:szCs w:val="24"/>
        </w:rPr>
        <w:t>1</w:t>
      </w:r>
      <w:r w:rsidR="007912E3">
        <w:rPr>
          <w:sz w:val="24"/>
          <w:szCs w:val="24"/>
        </w:rPr>
        <w:t>0</w:t>
      </w:r>
      <w:r w:rsidRPr="00CC6DCE">
        <w:rPr>
          <w:sz w:val="24"/>
          <w:szCs w:val="24"/>
        </w:rPr>
        <w:t>. l</w:t>
      </w:r>
      <w:r w:rsidR="00A21BAA" w:rsidRPr="00CC6DCE">
        <w:rPr>
          <w:sz w:val="24"/>
          <w:szCs w:val="24"/>
        </w:rPr>
        <w:t xml:space="preserve">edna </w:t>
      </w:r>
      <w:r w:rsidRPr="00CC6DCE">
        <w:rPr>
          <w:sz w:val="24"/>
          <w:szCs w:val="24"/>
        </w:rPr>
        <w:t>201</w:t>
      </w:r>
      <w:r w:rsidR="00A21BAA" w:rsidRPr="00CC6DCE">
        <w:rPr>
          <w:sz w:val="24"/>
          <w:szCs w:val="24"/>
        </w:rPr>
        <w:t>8</w:t>
      </w:r>
    </w:p>
    <w:sectPr w:rsidR="0031258A" w:rsidRPr="00CC6DCE" w:rsidSect="0031258A">
      <w:footerReference w:type="default" r:id="rId8"/>
      <w:headerReference w:type="first" r:id="rId9"/>
      <w:pgSz w:w="11906" w:h="16838" w:code="9"/>
      <w:pgMar w:top="1805" w:right="1133" w:bottom="1134" w:left="1134" w:header="284" w:footer="54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9F7" w:rsidRDefault="006F19F7" w:rsidP="00BF2205">
      <w:pPr>
        <w:spacing w:after="0" w:line="240" w:lineRule="auto"/>
      </w:pPr>
      <w:r>
        <w:separator/>
      </w:r>
    </w:p>
  </w:endnote>
  <w:endnote w:type="continuationSeparator" w:id="0">
    <w:p w:rsidR="006F19F7" w:rsidRDefault="006F19F7" w:rsidP="00BF22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8479"/>
      <w:docPartObj>
        <w:docPartGallery w:val="Page Numbers (Bottom of Page)"/>
        <w:docPartUnique/>
      </w:docPartObj>
    </w:sdtPr>
    <w:sdtEndPr>
      <w:rPr>
        <w:rFonts w:ascii="Arial" w:hAnsi="Arial" w:cs="Arial"/>
        <w:sz w:val="24"/>
        <w:szCs w:val="24"/>
      </w:rPr>
    </w:sdtEndPr>
    <w:sdtContent>
      <w:p w:rsidR="001301C9" w:rsidRPr="005D2E45" w:rsidRDefault="001A45B4" w:rsidP="005D2E45">
        <w:pPr>
          <w:pStyle w:val="Zpat"/>
          <w:jc w:val="center"/>
          <w:rPr>
            <w:rFonts w:ascii="Arial" w:hAnsi="Arial" w:cs="Arial"/>
            <w:sz w:val="24"/>
            <w:szCs w:val="24"/>
          </w:rPr>
        </w:pPr>
        <w:r w:rsidRPr="005D2E45">
          <w:rPr>
            <w:rFonts w:ascii="Arial" w:hAnsi="Arial" w:cs="Arial"/>
            <w:sz w:val="24"/>
            <w:szCs w:val="24"/>
          </w:rPr>
          <w:fldChar w:fldCharType="begin"/>
        </w:r>
        <w:r w:rsidR="001301C9" w:rsidRPr="005D2E45">
          <w:rPr>
            <w:rFonts w:ascii="Arial" w:hAnsi="Arial" w:cs="Arial"/>
            <w:sz w:val="24"/>
            <w:szCs w:val="24"/>
          </w:rPr>
          <w:instrText xml:space="preserve"> PAGE   \* MERGEFORMAT </w:instrText>
        </w:r>
        <w:r w:rsidRPr="005D2E45">
          <w:rPr>
            <w:rFonts w:ascii="Arial" w:hAnsi="Arial" w:cs="Arial"/>
            <w:sz w:val="24"/>
            <w:szCs w:val="24"/>
          </w:rPr>
          <w:fldChar w:fldCharType="separate"/>
        </w:r>
        <w:r w:rsidR="007912E3">
          <w:rPr>
            <w:rFonts w:ascii="Arial" w:hAnsi="Arial" w:cs="Arial"/>
            <w:noProof/>
            <w:sz w:val="24"/>
            <w:szCs w:val="24"/>
          </w:rPr>
          <w:t>3</w:t>
        </w:r>
        <w:r w:rsidRPr="005D2E45">
          <w:rPr>
            <w:rFonts w:ascii="Arial" w:hAnsi="Arial" w:cs="Arial"/>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9F7" w:rsidRDefault="006F19F7" w:rsidP="00BF2205">
      <w:pPr>
        <w:spacing w:after="0" w:line="240" w:lineRule="auto"/>
      </w:pPr>
      <w:r>
        <w:separator/>
      </w:r>
    </w:p>
  </w:footnote>
  <w:footnote w:type="continuationSeparator" w:id="0">
    <w:p w:rsidR="006F19F7" w:rsidRDefault="006F19F7" w:rsidP="00BF22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1C9" w:rsidRDefault="001301C9" w:rsidP="00BF2205">
    <w:pPr>
      <w:pStyle w:val="Zhlav"/>
      <w:jc w:val="center"/>
    </w:pPr>
    <w:r w:rsidRPr="00BF2205">
      <w:rPr>
        <w:noProof/>
      </w:rPr>
      <w:drawing>
        <wp:inline distT="0" distB="0" distL="0" distR="0">
          <wp:extent cx="2819400" cy="761461"/>
          <wp:effectExtent l="19050" t="0" r="0" b="0"/>
          <wp:docPr id="1"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834367" cy="76550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0710A"/>
    <w:multiLevelType w:val="hybridMultilevel"/>
    <w:tmpl w:val="B6CAD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5C142655"/>
    <w:multiLevelType w:val="hybridMultilevel"/>
    <w:tmpl w:val="FE5A76A2"/>
    <w:lvl w:ilvl="0" w:tplc="5080C44A">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63D112EA"/>
    <w:multiLevelType w:val="hybridMultilevel"/>
    <w:tmpl w:val="563EF3FA"/>
    <w:lvl w:ilvl="0" w:tplc="1AFCA0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79A4D62"/>
    <w:multiLevelType w:val="hybridMultilevel"/>
    <w:tmpl w:val="096AA14E"/>
    <w:lvl w:ilvl="0" w:tplc="FD30A8C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692C0BE0"/>
    <w:multiLevelType w:val="hybridMultilevel"/>
    <w:tmpl w:val="8AF66260"/>
    <w:lvl w:ilvl="0" w:tplc="308CD9A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5964BD"/>
    <w:multiLevelType w:val="hybridMultilevel"/>
    <w:tmpl w:val="CAB872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0012DF3"/>
    <w:multiLevelType w:val="hybridMultilevel"/>
    <w:tmpl w:val="BA108216"/>
    <w:lvl w:ilvl="0" w:tplc="DA0C7B46">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75047D55"/>
    <w:multiLevelType w:val="hybridMultilevel"/>
    <w:tmpl w:val="15E2C3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AFF56AE"/>
    <w:multiLevelType w:val="hybridMultilevel"/>
    <w:tmpl w:val="11765A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7BC21D93"/>
    <w:multiLevelType w:val="hybridMultilevel"/>
    <w:tmpl w:val="80CC8D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4"/>
  </w:num>
  <w:num w:numId="5">
    <w:abstractNumId w:val="5"/>
  </w:num>
  <w:num w:numId="6">
    <w:abstractNumId w:val="7"/>
  </w:num>
  <w:num w:numId="7">
    <w:abstractNumId w:val="9"/>
  </w:num>
  <w:num w:numId="8">
    <w:abstractNumId w:val="0"/>
  </w:num>
  <w:num w:numId="9">
    <w:abstractNumId w:val="2"/>
  </w:num>
  <w:num w:numId="1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FB1089"/>
    <w:rsid w:val="00003994"/>
    <w:rsid w:val="00007F68"/>
    <w:rsid w:val="00010DBF"/>
    <w:rsid w:val="000142DF"/>
    <w:rsid w:val="000156A4"/>
    <w:rsid w:val="00016A97"/>
    <w:rsid w:val="000301E4"/>
    <w:rsid w:val="00032E0E"/>
    <w:rsid w:val="00034837"/>
    <w:rsid w:val="00035E61"/>
    <w:rsid w:val="00037951"/>
    <w:rsid w:val="00044D07"/>
    <w:rsid w:val="0005054C"/>
    <w:rsid w:val="00051BC6"/>
    <w:rsid w:val="00063C7B"/>
    <w:rsid w:val="0007076F"/>
    <w:rsid w:val="00070E53"/>
    <w:rsid w:val="00071B2E"/>
    <w:rsid w:val="000722F3"/>
    <w:rsid w:val="00072D1D"/>
    <w:rsid w:val="00073F59"/>
    <w:rsid w:val="00074A58"/>
    <w:rsid w:val="00075504"/>
    <w:rsid w:val="00085404"/>
    <w:rsid w:val="0009020F"/>
    <w:rsid w:val="00092549"/>
    <w:rsid w:val="0009706E"/>
    <w:rsid w:val="00097A77"/>
    <w:rsid w:val="000A10A2"/>
    <w:rsid w:val="000A4B5C"/>
    <w:rsid w:val="000B05C6"/>
    <w:rsid w:val="000B5363"/>
    <w:rsid w:val="000B55EA"/>
    <w:rsid w:val="000C0A1F"/>
    <w:rsid w:val="000C535F"/>
    <w:rsid w:val="000D0213"/>
    <w:rsid w:val="000D2AFC"/>
    <w:rsid w:val="000E7198"/>
    <w:rsid w:val="000F3E85"/>
    <w:rsid w:val="000F3EA4"/>
    <w:rsid w:val="000F4E1B"/>
    <w:rsid w:val="00103861"/>
    <w:rsid w:val="00106C8A"/>
    <w:rsid w:val="00111C9F"/>
    <w:rsid w:val="00115248"/>
    <w:rsid w:val="00117D55"/>
    <w:rsid w:val="001229B1"/>
    <w:rsid w:val="00126561"/>
    <w:rsid w:val="00126835"/>
    <w:rsid w:val="0012783A"/>
    <w:rsid w:val="001301C9"/>
    <w:rsid w:val="001332F9"/>
    <w:rsid w:val="00133B3A"/>
    <w:rsid w:val="00134C1F"/>
    <w:rsid w:val="001522E5"/>
    <w:rsid w:val="001531D6"/>
    <w:rsid w:val="001558B0"/>
    <w:rsid w:val="00161FEC"/>
    <w:rsid w:val="00164380"/>
    <w:rsid w:val="001677B5"/>
    <w:rsid w:val="00167965"/>
    <w:rsid w:val="00170C55"/>
    <w:rsid w:val="00171BE5"/>
    <w:rsid w:val="0017346C"/>
    <w:rsid w:val="00176109"/>
    <w:rsid w:val="001779CD"/>
    <w:rsid w:val="00180E49"/>
    <w:rsid w:val="00181A8D"/>
    <w:rsid w:val="001850B0"/>
    <w:rsid w:val="00192AD3"/>
    <w:rsid w:val="001943FD"/>
    <w:rsid w:val="00194E37"/>
    <w:rsid w:val="001975A2"/>
    <w:rsid w:val="001A0F32"/>
    <w:rsid w:val="001A2F7A"/>
    <w:rsid w:val="001A3D6E"/>
    <w:rsid w:val="001A45B4"/>
    <w:rsid w:val="001A549E"/>
    <w:rsid w:val="001A6E65"/>
    <w:rsid w:val="001B20E8"/>
    <w:rsid w:val="001B4072"/>
    <w:rsid w:val="001B4813"/>
    <w:rsid w:val="001B5236"/>
    <w:rsid w:val="001B584B"/>
    <w:rsid w:val="001C6699"/>
    <w:rsid w:val="001D6005"/>
    <w:rsid w:val="001E20EC"/>
    <w:rsid w:val="001E3E4A"/>
    <w:rsid w:val="001E5A97"/>
    <w:rsid w:val="001F67F8"/>
    <w:rsid w:val="00226B19"/>
    <w:rsid w:val="00230E82"/>
    <w:rsid w:val="00231A35"/>
    <w:rsid w:val="002402B6"/>
    <w:rsid w:val="00246E6A"/>
    <w:rsid w:val="00250186"/>
    <w:rsid w:val="00252EB3"/>
    <w:rsid w:val="002536F6"/>
    <w:rsid w:val="0026061A"/>
    <w:rsid w:val="00264690"/>
    <w:rsid w:val="00264B96"/>
    <w:rsid w:val="0027730C"/>
    <w:rsid w:val="00277C59"/>
    <w:rsid w:val="0028509D"/>
    <w:rsid w:val="002949B5"/>
    <w:rsid w:val="00294A69"/>
    <w:rsid w:val="002A14B3"/>
    <w:rsid w:val="002A6E83"/>
    <w:rsid w:val="002B4A53"/>
    <w:rsid w:val="002B4D3A"/>
    <w:rsid w:val="002B516B"/>
    <w:rsid w:val="002B6DBA"/>
    <w:rsid w:val="002B793D"/>
    <w:rsid w:val="002C0AC6"/>
    <w:rsid w:val="002C5EA0"/>
    <w:rsid w:val="002D4E1B"/>
    <w:rsid w:val="002E178E"/>
    <w:rsid w:val="002E2CC4"/>
    <w:rsid w:val="002E2FE3"/>
    <w:rsid w:val="002E3E11"/>
    <w:rsid w:val="002F1909"/>
    <w:rsid w:val="002F2096"/>
    <w:rsid w:val="002F6080"/>
    <w:rsid w:val="00300431"/>
    <w:rsid w:val="003015A0"/>
    <w:rsid w:val="00303A70"/>
    <w:rsid w:val="00304D9D"/>
    <w:rsid w:val="00306367"/>
    <w:rsid w:val="00310842"/>
    <w:rsid w:val="0031258A"/>
    <w:rsid w:val="0031266D"/>
    <w:rsid w:val="00317B26"/>
    <w:rsid w:val="003211C1"/>
    <w:rsid w:val="00321A67"/>
    <w:rsid w:val="00323B93"/>
    <w:rsid w:val="003327F2"/>
    <w:rsid w:val="00335B60"/>
    <w:rsid w:val="00341E10"/>
    <w:rsid w:val="00344058"/>
    <w:rsid w:val="003444E8"/>
    <w:rsid w:val="00351747"/>
    <w:rsid w:val="003624E9"/>
    <w:rsid w:val="003642DE"/>
    <w:rsid w:val="0037085F"/>
    <w:rsid w:val="00376EA8"/>
    <w:rsid w:val="0038701E"/>
    <w:rsid w:val="00387877"/>
    <w:rsid w:val="00391CC2"/>
    <w:rsid w:val="00393690"/>
    <w:rsid w:val="00393DFA"/>
    <w:rsid w:val="00395D9E"/>
    <w:rsid w:val="003A1767"/>
    <w:rsid w:val="003A20B0"/>
    <w:rsid w:val="003B0D73"/>
    <w:rsid w:val="003B4A27"/>
    <w:rsid w:val="003B4ED0"/>
    <w:rsid w:val="003C387B"/>
    <w:rsid w:val="003C3A47"/>
    <w:rsid w:val="003C7850"/>
    <w:rsid w:val="003D29A2"/>
    <w:rsid w:val="003D55EA"/>
    <w:rsid w:val="003D5B23"/>
    <w:rsid w:val="003D752D"/>
    <w:rsid w:val="003E0AC6"/>
    <w:rsid w:val="003E32B9"/>
    <w:rsid w:val="003E3B59"/>
    <w:rsid w:val="003E41C8"/>
    <w:rsid w:val="003F089E"/>
    <w:rsid w:val="003F1F7D"/>
    <w:rsid w:val="003F5C50"/>
    <w:rsid w:val="00407AAD"/>
    <w:rsid w:val="00410368"/>
    <w:rsid w:val="00425F0F"/>
    <w:rsid w:val="004268A8"/>
    <w:rsid w:val="00430715"/>
    <w:rsid w:val="00434590"/>
    <w:rsid w:val="004401CF"/>
    <w:rsid w:val="0044196A"/>
    <w:rsid w:val="00441AC2"/>
    <w:rsid w:val="00446598"/>
    <w:rsid w:val="00452054"/>
    <w:rsid w:val="00453DED"/>
    <w:rsid w:val="00465D55"/>
    <w:rsid w:val="00467275"/>
    <w:rsid w:val="00470B4B"/>
    <w:rsid w:val="00475809"/>
    <w:rsid w:val="004770A9"/>
    <w:rsid w:val="004807C0"/>
    <w:rsid w:val="004917B8"/>
    <w:rsid w:val="0049332E"/>
    <w:rsid w:val="00497A5A"/>
    <w:rsid w:val="004B2005"/>
    <w:rsid w:val="004B632F"/>
    <w:rsid w:val="004C435B"/>
    <w:rsid w:val="004C582D"/>
    <w:rsid w:val="004C58AA"/>
    <w:rsid w:val="004D24C2"/>
    <w:rsid w:val="004D6BA6"/>
    <w:rsid w:val="004E1B56"/>
    <w:rsid w:val="004E3600"/>
    <w:rsid w:val="004E3C72"/>
    <w:rsid w:val="004F0FEF"/>
    <w:rsid w:val="004F1F96"/>
    <w:rsid w:val="004F500E"/>
    <w:rsid w:val="004F517C"/>
    <w:rsid w:val="005021E4"/>
    <w:rsid w:val="00505347"/>
    <w:rsid w:val="00506824"/>
    <w:rsid w:val="0050793B"/>
    <w:rsid w:val="005134B5"/>
    <w:rsid w:val="00513661"/>
    <w:rsid w:val="00515263"/>
    <w:rsid w:val="0052375E"/>
    <w:rsid w:val="00524BC0"/>
    <w:rsid w:val="00526E48"/>
    <w:rsid w:val="00526ECF"/>
    <w:rsid w:val="005441EF"/>
    <w:rsid w:val="005464D6"/>
    <w:rsid w:val="00546C6A"/>
    <w:rsid w:val="00552AF4"/>
    <w:rsid w:val="00555B57"/>
    <w:rsid w:val="00561794"/>
    <w:rsid w:val="00562211"/>
    <w:rsid w:val="0056278B"/>
    <w:rsid w:val="00566DD8"/>
    <w:rsid w:val="00571EE1"/>
    <w:rsid w:val="0057307C"/>
    <w:rsid w:val="00573B8E"/>
    <w:rsid w:val="00576C9B"/>
    <w:rsid w:val="00580733"/>
    <w:rsid w:val="00585489"/>
    <w:rsid w:val="0058743F"/>
    <w:rsid w:val="0059361A"/>
    <w:rsid w:val="005967DE"/>
    <w:rsid w:val="005A27F5"/>
    <w:rsid w:val="005A3EF1"/>
    <w:rsid w:val="005A6D18"/>
    <w:rsid w:val="005B2202"/>
    <w:rsid w:val="005C003F"/>
    <w:rsid w:val="005C1B1C"/>
    <w:rsid w:val="005C3C5A"/>
    <w:rsid w:val="005C439B"/>
    <w:rsid w:val="005C7166"/>
    <w:rsid w:val="005D19D7"/>
    <w:rsid w:val="005D2E45"/>
    <w:rsid w:val="005D507B"/>
    <w:rsid w:val="005D52F6"/>
    <w:rsid w:val="005E1F2F"/>
    <w:rsid w:val="005F3C01"/>
    <w:rsid w:val="005F448B"/>
    <w:rsid w:val="005F72DF"/>
    <w:rsid w:val="005F749F"/>
    <w:rsid w:val="0060090C"/>
    <w:rsid w:val="0060284E"/>
    <w:rsid w:val="0060366D"/>
    <w:rsid w:val="00606420"/>
    <w:rsid w:val="006078D4"/>
    <w:rsid w:val="00610773"/>
    <w:rsid w:val="00610D9E"/>
    <w:rsid w:val="00613BAE"/>
    <w:rsid w:val="00617227"/>
    <w:rsid w:val="0061723C"/>
    <w:rsid w:val="00621567"/>
    <w:rsid w:val="006238D6"/>
    <w:rsid w:val="00630FC5"/>
    <w:rsid w:val="00637EFC"/>
    <w:rsid w:val="00644361"/>
    <w:rsid w:val="00647388"/>
    <w:rsid w:val="0065087E"/>
    <w:rsid w:val="00653127"/>
    <w:rsid w:val="00653C39"/>
    <w:rsid w:val="00653F40"/>
    <w:rsid w:val="006571A9"/>
    <w:rsid w:val="006617C0"/>
    <w:rsid w:val="00662015"/>
    <w:rsid w:val="00663049"/>
    <w:rsid w:val="00663C13"/>
    <w:rsid w:val="00665929"/>
    <w:rsid w:val="0066635F"/>
    <w:rsid w:val="00667DF1"/>
    <w:rsid w:val="00670C9A"/>
    <w:rsid w:val="006727E9"/>
    <w:rsid w:val="00674408"/>
    <w:rsid w:val="00677F4C"/>
    <w:rsid w:val="006820A4"/>
    <w:rsid w:val="006A70A1"/>
    <w:rsid w:val="006A7753"/>
    <w:rsid w:val="006B0CB4"/>
    <w:rsid w:val="006B482A"/>
    <w:rsid w:val="006B6212"/>
    <w:rsid w:val="006B7534"/>
    <w:rsid w:val="006C04A8"/>
    <w:rsid w:val="006C4A88"/>
    <w:rsid w:val="006C55BE"/>
    <w:rsid w:val="006D272C"/>
    <w:rsid w:val="006D3111"/>
    <w:rsid w:val="006D3345"/>
    <w:rsid w:val="006E032F"/>
    <w:rsid w:val="006F19F7"/>
    <w:rsid w:val="006F2380"/>
    <w:rsid w:val="006F7A52"/>
    <w:rsid w:val="006F7CDF"/>
    <w:rsid w:val="00701C36"/>
    <w:rsid w:val="007042B9"/>
    <w:rsid w:val="00706081"/>
    <w:rsid w:val="00706680"/>
    <w:rsid w:val="007078A6"/>
    <w:rsid w:val="00713844"/>
    <w:rsid w:val="0071529C"/>
    <w:rsid w:val="007173EC"/>
    <w:rsid w:val="007213A0"/>
    <w:rsid w:val="00723DE5"/>
    <w:rsid w:val="00724185"/>
    <w:rsid w:val="00725666"/>
    <w:rsid w:val="00732C4E"/>
    <w:rsid w:val="007366BC"/>
    <w:rsid w:val="00745729"/>
    <w:rsid w:val="00746520"/>
    <w:rsid w:val="00746555"/>
    <w:rsid w:val="007503E5"/>
    <w:rsid w:val="00751766"/>
    <w:rsid w:val="00756EFB"/>
    <w:rsid w:val="0076007B"/>
    <w:rsid w:val="00764F56"/>
    <w:rsid w:val="00766098"/>
    <w:rsid w:val="00766CD5"/>
    <w:rsid w:val="00766FE3"/>
    <w:rsid w:val="007705FC"/>
    <w:rsid w:val="00772F4D"/>
    <w:rsid w:val="00774D70"/>
    <w:rsid w:val="00775B21"/>
    <w:rsid w:val="00776768"/>
    <w:rsid w:val="00776BD2"/>
    <w:rsid w:val="007773A4"/>
    <w:rsid w:val="00777450"/>
    <w:rsid w:val="007816E1"/>
    <w:rsid w:val="007912E3"/>
    <w:rsid w:val="007928EB"/>
    <w:rsid w:val="00793278"/>
    <w:rsid w:val="007A4AAA"/>
    <w:rsid w:val="007B15EA"/>
    <w:rsid w:val="007C5F94"/>
    <w:rsid w:val="007C6703"/>
    <w:rsid w:val="007C6E65"/>
    <w:rsid w:val="007D0EDF"/>
    <w:rsid w:val="007D1BD2"/>
    <w:rsid w:val="007D64AB"/>
    <w:rsid w:val="007F3A82"/>
    <w:rsid w:val="007F4F01"/>
    <w:rsid w:val="007F7FA2"/>
    <w:rsid w:val="00800FCB"/>
    <w:rsid w:val="00802893"/>
    <w:rsid w:val="00804E7A"/>
    <w:rsid w:val="00807695"/>
    <w:rsid w:val="00813081"/>
    <w:rsid w:val="00816061"/>
    <w:rsid w:val="008236F7"/>
    <w:rsid w:val="0082605C"/>
    <w:rsid w:val="0083302A"/>
    <w:rsid w:val="00833158"/>
    <w:rsid w:val="008357DE"/>
    <w:rsid w:val="008364C6"/>
    <w:rsid w:val="00837F46"/>
    <w:rsid w:val="00840BAE"/>
    <w:rsid w:val="00844484"/>
    <w:rsid w:val="0084671C"/>
    <w:rsid w:val="00860853"/>
    <w:rsid w:val="008701C4"/>
    <w:rsid w:val="00871D4D"/>
    <w:rsid w:val="00872308"/>
    <w:rsid w:val="008726B9"/>
    <w:rsid w:val="008735C7"/>
    <w:rsid w:val="008738E7"/>
    <w:rsid w:val="00881C62"/>
    <w:rsid w:val="0088435E"/>
    <w:rsid w:val="00885669"/>
    <w:rsid w:val="008931AF"/>
    <w:rsid w:val="008A20F2"/>
    <w:rsid w:val="008A39C1"/>
    <w:rsid w:val="008A4A46"/>
    <w:rsid w:val="008A4DA4"/>
    <w:rsid w:val="008A5215"/>
    <w:rsid w:val="008A7C60"/>
    <w:rsid w:val="008A7EC6"/>
    <w:rsid w:val="008B7479"/>
    <w:rsid w:val="008C112C"/>
    <w:rsid w:val="008C3489"/>
    <w:rsid w:val="008C75E5"/>
    <w:rsid w:val="008D27EE"/>
    <w:rsid w:val="008D347D"/>
    <w:rsid w:val="008D7B7D"/>
    <w:rsid w:val="008E5402"/>
    <w:rsid w:val="008F2C86"/>
    <w:rsid w:val="00903A9C"/>
    <w:rsid w:val="00907796"/>
    <w:rsid w:val="009140DC"/>
    <w:rsid w:val="00915EF1"/>
    <w:rsid w:val="00916221"/>
    <w:rsid w:val="0091708E"/>
    <w:rsid w:val="00921089"/>
    <w:rsid w:val="00932654"/>
    <w:rsid w:val="00933637"/>
    <w:rsid w:val="00935BDA"/>
    <w:rsid w:val="00937120"/>
    <w:rsid w:val="00943CC4"/>
    <w:rsid w:val="0094455E"/>
    <w:rsid w:val="0095086F"/>
    <w:rsid w:val="00953FAC"/>
    <w:rsid w:val="00955DD1"/>
    <w:rsid w:val="00957DFC"/>
    <w:rsid w:val="00963599"/>
    <w:rsid w:val="00972521"/>
    <w:rsid w:val="009807D2"/>
    <w:rsid w:val="009816E3"/>
    <w:rsid w:val="00982676"/>
    <w:rsid w:val="00985773"/>
    <w:rsid w:val="00985AD3"/>
    <w:rsid w:val="00985BCB"/>
    <w:rsid w:val="00992946"/>
    <w:rsid w:val="00993A29"/>
    <w:rsid w:val="009A02EF"/>
    <w:rsid w:val="009B207A"/>
    <w:rsid w:val="009B2A81"/>
    <w:rsid w:val="009B3B0C"/>
    <w:rsid w:val="009B68CA"/>
    <w:rsid w:val="009B7E18"/>
    <w:rsid w:val="009C4B35"/>
    <w:rsid w:val="009D1AF0"/>
    <w:rsid w:val="009D733E"/>
    <w:rsid w:val="009E0D44"/>
    <w:rsid w:val="009E15D4"/>
    <w:rsid w:val="009E328B"/>
    <w:rsid w:val="009E6402"/>
    <w:rsid w:val="00A0476A"/>
    <w:rsid w:val="00A06C79"/>
    <w:rsid w:val="00A110C2"/>
    <w:rsid w:val="00A132FF"/>
    <w:rsid w:val="00A15687"/>
    <w:rsid w:val="00A15FC2"/>
    <w:rsid w:val="00A21BAA"/>
    <w:rsid w:val="00A23AD2"/>
    <w:rsid w:val="00A41C0C"/>
    <w:rsid w:val="00A42949"/>
    <w:rsid w:val="00A46290"/>
    <w:rsid w:val="00A50F07"/>
    <w:rsid w:val="00A51B48"/>
    <w:rsid w:val="00A55CC0"/>
    <w:rsid w:val="00A57EB2"/>
    <w:rsid w:val="00A6152D"/>
    <w:rsid w:val="00A617BD"/>
    <w:rsid w:val="00A6488D"/>
    <w:rsid w:val="00A7175E"/>
    <w:rsid w:val="00A71831"/>
    <w:rsid w:val="00A71ED0"/>
    <w:rsid w:val="00A75627"/>
    <w:rsid w:val="00A83F0D"/>
    <w:rsid w:val="00A852DC"/>
    <w:rsid w:val="00A867DD"/>
    <w:rsid w:val="00A95CC5"/>
    <w:rsid w:val="00AA0C9F"/>
    <w:rsid w:val="00AA300B"/>
    <w:rsid w:val="00AB002F"/>
    <w:rsid w:val="00AB08AC"/>
    <w:rsid w:val="00AB0F0C"/>
    <w:rsid w:val="00AB34B0"/>
    <w:rsid w:val="00AB648E"/>
    <w:rsid w:val="00AB7877"/>
    <w:rsid w:val="00AC4430"/>
    <w:rsid w:val="00AD0FA5"/>
    <w:rsid w:val="00AD119A"/>
    <w:rsid w:val="00AD70B0"/>
    <w:rsid w:val="00AE3E3C"/>
    <w:rsid w:val="00AE5895"/>
    <w:rsid w:val="00AE7BF6"/>
    <w:rsid w:val="00AF61A2"/>
    <w:rsid w:val="00B0000B"/>
    <w:rsid w:val="00B01C45"/>
    <w:rsid w:val="00B134AC"/>
    <w:rsid w:val="00B13985"/>
    <w:rsid w:val="00B21DAF"/>
    <w:rsid w:val="00B25FFC"/>
    <w:rsid w:val="00B30672"/>
    <w:rsid w:val="00B31DED"/>
    <w:rsid w:val="00B37A55"/>
    <w:rsid w:val="00B44672"/>
    <w:rsid w:val="00B476A4"/>
    <w:rsid w:val="00B52825"/>
    <w:rsid w:val="00B5710B"/>
    <w:rsid w:val="00B57CC1"/>
    <w:rsid w:val="00B60CED"/>
    <w:rsid w:val="00B617BC"/>
    <w:rsid w:val="00B63787"/>
    <w:rsid w:val="00B6468C"/>
    <w:rsid w:val="00B64BEA"/>
    <w:rsid w:val="00B6535F"/>
    <w:rsid w:val="00B73276"/>
    <w:rsid w:val="00B77BE0"/>
    <w:rsid w:val="00B80B2F"/>
    <w:rsid w:val="00B90429"/>
    <w:rsid w:val="00B907C8"/>
    <w:rsid w:val="00B90EAF"/>
    <w:rsid w:val="00B91050"/>
    <w:rsid w:val="00BA0B5E"/>
    <w:rsid w:val="00BA0BA9"/>
    <w:rsid w:val="00BA4089"/>
    <w:rsid w:val="00BA4465"/>
    <w:rsid w:val="00BB3406"/>
    <w:rsid w:val="00BB4A5F"/>
    <w:rsid w:val="00BB580B"/>
    <w:rsid w:val="00BB5C37"/>
    <w:rsid w:val="00BB7B4B"/>
    <w:rsid w:val="00BC3450"/>
    <w:rsid w:val="00BD1494"/>
    <w:rsid w:val="00BD39EF"/>
    <w:rsid w:val="00BD4DEF"/>
    <w:rsid w:val="00BD54A4"/>
    <w:rsid w:val="00BD7768"/>
    <w:rsid w:val="00BD78D7"/>
    <w:rsid w:val="00BE425B"/>
    <w:rsid w:val="00BF2205"/>
    <w:rsid w:val="00BF32B8"/>
    <w:rsid w:val="00BF46FB"/>
    <w:rsid w:val="00C011CC"/>
    <w:rsid w:val="00C02D00"/>
    <w:rsid w:val="00C055C3"/>
    <w:rsid w:val="00C1182E"/>
    <w:rsid w:val="00C25559"/>
    <w:rsid w:val="00C261A6"/>
    <w:rsid w:val="00C308D3"/>
    <w:rsid w:val="00C361D6"/>
    <w:rsid w:val="00C369AA"/>
    <w:rsid w:val="00C45662"/>
    <w:rsid w:val="00C52838"/>
    <w:rsid w:val="00C52A8F"/>
    <w:rsid w:val="00C52E20"/>
    <w:rsid w:val="00C62965"/>
    <w:rsid w:val="00C658A9"/>
    <w:rsid w:val="00C67E91"/>
    <w:rsid w:val="00C70219"/>
    <w:rsid w:val="00C8017A"/>
    <w:rsid w:val="00C80683"/>
    <w:rsid w:val="00C81EE0"/>
    <w:rsid w:val="00C824DD"/>
    <w:rsid w:val="00C8333D"/>
    <w:rsid w:val="00C842B7"/>
    <w:rsid w:val="00C8450B"/>
    <w:rsid w:val="00C92F2E"/>
    <w:rsid w:val="00C94B8C"/>
    <w:rsid w:val="00C97EFF"/>
    <w:rsid w:val="00CA0B37"/>
    <w:rsid w:val="00CB66CB"/>
    <w:rsid w:val="00CC3EBB"/>
    <w:rsid w:val="00CC6DCE"/>
    <w:rsid w:val="00CD1081"/>
    <w:rsid w:val="00CD2842"/>
    <w:rsid w:val="00CD79DD"/>
    <w:rsid w:val="00CE1395"/>
    <w:rsid w:val="00CE57A0"/>
    <w:rsid w:val="00CE6396"/>
    <w:rsid w:val="00CF0C75"/>
    <w:rsid w:val="00CF46E8"/>
    <w:rsid w:val="00CF6902"/>
    <w:rsid w:val="00D0163B"/>
    <w:rsid w:val="00D04ECF"/>
    <w:rsid w:val="00D05408"/>
    <w:rsid w:val="00D1001F"/>
    <w:rsid w:val="00D11D1A"/>
    <w:rsid w:val="00D1414F"/>
    <w:rsid w:val="00D1510D"/>
    <w:rsid w:val="00D171BC"/>
    <w:rsid w:val="00D23733"/>
    <w:rsid w:val="00D24B50"/>
    <w:rsid w:val="00D26C8D"/>
    <w:rsid w:val="00D27143"/>
    <w:rsid w:val="00D403FE"/>
    <w:rsid w:val="00D4723C"/>
    <w:rsid w:val="00D511FF"/>
    <w:rsid w:val="00D53643"/>
    <w:rsid w:val="00D557DE"/>
    <w:rsid w:val="00D56B4C"/>
    <w:rsid w:val="00D62177"/>
    <w:rsid w:val="00D62215"/>
    <w:rsid w:val="00D636E4"/>
    <w:rsid w:val="00D63FD9"/>
    <w:rsid w:val="00D64D6B"/>
    <w:rsid w:val="00D664B3"/>
    <w:rsid w:val="00D76243"/>
    <w:rsid w:val="00D801D1"/>
    <w:rsid w:val="00D81DE3"/>
    <w:rsid w:val="00D874F1"/>
    <w:rsid w:val="00D9146B"/>
    <w:rsid w:val="00D914F9"/>
    <w:rsid w:val="00D940EA"/>
    <w:rsid w:val="00DA1854"/>
    <w:rsid w:val="00DA3677"/>
    <w:rsid w:val="00DB0249"/>
    <w:rsid w:val="00DB1BB7"/>
    <w:rsid w:val="00DB255A"/>
    <w:rsid w:val="00DB31CA"/>
    <w:rsid w:val="00DB3BB4"/>
    <w:rsid w:val="00DB3DE2"/>
    <w:rsid w:val="00DB3F57"/>
    <w:rsid w:val="00DB4A2A"/>
    <w:rsid w:val="00DB714E"/>
    <w:rsid w:val="00DD0428"/>
    <w:rsid w:val="00DD24C5"/>
    <w:rsid w:val="00DD511D"/>
    <w:rsid w:val="00DD56D4"/>
    <w:rsid w:val="00DD750B"/>
    <w:rsid w:val="00DD7D5B"/>
    <w:rsid w:val="00DE4D3F"/>
    <w:rsid w:val="00DE514A"/>
    <w:rsid w:val="00DE59DF"/>
    <w:rsid w:val="00DE6153"/>
    <w:rsid w:val="00DE7AB6"/>
    <w:rsid w:val="00DF1C8F"/>
    <w:rsid w:val="00DF43CE"/>
    <w:rsid w:val="00DF668B"/>
    <w:rsid w:val="00DF7C72"/>
    <w:rsid w:val="00E00183"/>
    <w:rsid w:val="00E015D7"/>
    <w:rsid w:val="00E03E98"/>
    <w:rsid w:val="00E04D83"/>
    <w:rsid w:val="00E06499"/>
    <w:rsid w:val="00E13956"/>
    <w:rsid w:val="00E13BB8"/>
    <w:rsid w:val="00E16DE7"/>
    <w:rsid w:val="00E22F7C"/>
    <w:rsid w:val="00E31E47"/>
    <w:rsid w:val="00E373AC"/>
    <w:rsid w:val="00E4441F"/>
    <w:rsid w:val="00E4738B"/>
    <w:rsid w:val="00E47939"/>
    <w:rsid w:val="00E540A0"/>
    <w:rsid w:val="00E578BE"/>
    <w:rsid w:val="00E637B2"/>
    <w:rsid w:val="00E6543E"/>
    <w:rsid w:val="00E759FE"/>
    <w:rsid w:val="00E76670"/>
    <w:rsid w:val="00E83816"/>
    <w:rsid w:val="00E9133E"/>
    <w:rsid w:val="00E95C7D"/>
    <w:rsid w:val="00E96441"/>
    <w:rsid w:val="00EA7890"/>
    <w:rsid w:val="00EC0A99"/>
    <w:rsid w:val="00EC2C44"/>
    <w:rsid w:val="00EC4E17"/>
    <w:rsid w:val="00ED127C"/>
    <w:rsid w:val="00ED4B6D"/>
    <w:rsid w:val="00ED53DC"/>
    <w:rsid w:val="00EE3D04"/>
    <w:rsid w:val="00EF62A2"/>
    <w:rsid w:val="00EF6351"/>
    <w:rsid w:val="00EF74A6"/>
    <w:rsid w:val="00F00EE0"/>
    <w:rsid w:val="00F07991"/>
    <w:rsid w:val="00F1587F"/>
    <w:rsid w:val="00F17ABA"/>
    <w:rsid w:val="00F25C98"/>
    <w:rsid w:val="00F32A57"/>
    <w:rsid w:val="00F338C3"/>
    <w:rsid w:val="00F40962"/>
    <w:rsid w:val="00F439FC"/>
    <w:rsid w:val="00F50813"/>
    <w:rsid w:val="00F5388D"/>
    <w:rsid w:val="00F54C8E"/>
    <w:rsid w:val="00F57CFF"/>
    <w:rsid w:val="00F60085"/>
    <w:rsid w:val="00F604F6"/>
    <w:rsid w:val="00F6678A"/>
    <w:rsid w:val="00F677DE"/>
    <w:rsid w:val="00F76C1F"/>
    <w:rsid w:val="00F8158F"/>
    <w:rsid w:val="00F82827"/>
    <w:rsid w:val="00F85389"/>
    <w:rsid w:val="00F90C86"/>
    <w:rsid w:val="00F92382"/>
    <w:rsid w:val="00F94744"/>
    <w:rsid w:val="00F95E5A"/>
    <w:rsid w:val="00F96106"/>
    <w:rsid w:val="00FA4909"/>
    <w:rsid w:val="00FA7232"/>
    <w:rsid w:val="00FB1089"/>
    <w:rsid w:val="00FB2A21"/>
    <w:rsid w:val="00FB3AC4"/>
    <w:rsid w:val="00FB7B01"/>
    <w:rsid w:val="00FC0803"/>
    <w:rsid w:val="00FC1100"/>
    <w:rsid w:val="00FC31EC"/>
    <w:rsid w:val="00FC5775"/>
    <w:rsid w:val="00FC6E6A"/>
    <w:rsid w:val="00FC763F"/>
    <w:rsid w:val="00FD01DC"/>
    <w:rsid w:val="00FD60CE"/>
    <w:rsid w:val="00FD6C78"/>
    <w:rsid w:val="00FE3B5E"/>
    <w:rsid w:val="00FE7BE2"/>
    <w:rsid w:val="00FE7F53"/>
    <w:rsid w:val="00FF3122"/>
    <w:rsid w:val="00FF4C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01C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3787"/>
    <w:pPr>
      <w:ind w:left="720"/>
      <w:contextualSpacing/>
    </w:pPr>
  </w:style>
  <w:style w:type="paragraph" w:styleId="Zhlav">
    <w:name w:val="header"/>
    <w:basedOn w:val="Normln"/>
    <w:link w:val="ZhlavChar"/>
    <w:uiPriority w:val="99"/>
    <w:semiHidden/>
    <w:unhideWhenUsed/>
    <w:rsid w:val="00BF220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BF2205"/>
  </w:style>
  <w:style w:type="paragraph" w:styleId="Zpat">
    <w:name w:val="footer"/>
    <w:basedOn w:val="Normln"/>
    <w:link w:val="ZpatChar"/>
    <w:uiPriority w:val="99"/>
    <w:unhideWhenUsed/>
    <w:rsid w:val="00BF2205"/>
    <w:pPr>
      <w:tabs>
        <w:tab w:val="center" w:pos="4536"/>
        <w:tab w:val="right" w:pos="9072"/>
      </w:tabs>
      <w:spacing w:after="0" w:line="240" w:lineRule="auto"/>
    </w:pPr>
  </w:style>
  <w:style w:type="character" w:customStyle="1" w:styleId="ZpatChar">
    <w:name w:val="Zápatí Char"/>
    <w:basedOn w:val="Standardnpsmoodstavce"/>
    <w:link w:val="Zpat"/>
    <w:uiPriority w:val="99"/>
    <w:rsid w:val="00BF2205"/>
  </w:style>
  <w:style w:type="paragraph" w:styleId="Textbubliny">
    <w:name w:val="Balloon Text"/>
    <w:basedOn w:val="Normln"/>
    <w:link w:val="TextbublinyChar"/>
    <w:uiPriority w:val="99"/>
    <w:semiHidden/>
    <w:unhideWhenUsed/>
    <w:rsid w:val="006238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238D6"/>
    <w:rPr>
      <w:rFonts w:ascii="Tahoma" w:hAnsi="Tahoma" w:cs="Tahoma"/>
      <w:sz w:val="16"/>
      <w:szCs w:val="16"/>
    </w:rPr>
  </w:style>
  <w:style w:type="character" w:styleId="Hypertextovodkaz">
    <w:name w:val="Hyperlink"/>
    <w:basedOn w:val="Standardnpsmoodstavce"/>
    <w:uiPriority w:val="99"/>
    <w:unhideWhenUsed/>
    <w:rsid w:val="00872308"/>
    <w:rPr>
      <w:color w:val="0000FF" w:themeColor="hyperlink"/>
      <w:u w:val="single"/>
    </w:rPr>
  </w:style>
  <w:style w:type="character" w:styleId="Odkaznakoment">
    <w:name w:val="annotation reference"/>
    <w:basedOn w:val="Standardnpsmoodstavce"/>
    <w:uiPriority w:val="99"/>
    <w:semiHidden/>
    <w:unhideWhenUsed/>
    <w:rsid w:val="004D6BA6"/>
    <w:rPr>
      <w:sz w:val="16"/>
      <w:szCs w:val="16"/>
    </w:rPr>
  </w:style>
  <w:style w:type="paragraph" w:styleId="Textkomente">
    <w:name w:val="annotation text"/>
    <w:basedOn w:val="Normln"/>
    <w:link w:val="TextkomenteChar"/>
    <w:uiPriority w:val="99"/>
    <w:semiHidden/>
    <w:unhideWhenUsed/>
    <w:rsid w:val="004D6BA6"/>
    <w:pPr>
      <w:spacing w:line="240" w:lineRule="auto"/>
    </w:pPr>
    <w:rPr>
      <w:sz w:val="20"/>
      <w:szCs w:val="20"/>
    </w:rPr>
  </w:style>
  <w:style w:type="character" w:customStyle="1" w:styleId="TextkomenteChar">
    <w:name w:val="Text komentáře Char"/>
    <w:basedOn w:val="Standardnpsmoodstavce"/>
    <w:link w:val="Textkomente"/>
    <w:uiPriority w:val="99"/>
    <w:semiHidden/>
    <w:rsid w:val="004D6BA6"/>
    <w:rPr>
      <w:sz w:val="20"/>
      <w:szCs w:val="20"/>
    </w:rPr>
  </w:style>
  <w:style w:type="paragraph" w:styleId="Pedmtkomente">
    <w:name w:val="annotation subject"/>
    <w:basedOn w:val="Textkomente"/>
    <w:next w:val="Textkomente"/>
    <w:link w:val="PedmtkomenteChar"/>
    <w:uiPriority w:val="99"/>
    <w:semiHidden/>
    <w:unhideWhenUsed/>
    <w:rsid w:val="004D6BA6"/>
    <w:rPr>
      <w:b/>
      <w:bCs/>
    </w:rPr>
  </w:style>
  <w:style w:type="character" w:customStyle="1" w:styleId="PedmtkomenteChar">
    <w:name w:val="Předmět komentáře Char"/>
    <w:basedOn w:val="TextkomenteChar"/>
    <w:link w:val="Pedmtkomente"/>
    <w:uiPriority w:val="99"/>
    <w:semiHidden/>
    <w:rsid w:val="004D6BA6"/>
    <w:rPr>
      <w:b/>
      <w:bCs/>
      <w:sz w:val="20"/>
      <w:szCs w:val="20"/>
    </w:rPr>
  </w:style>
  <w:style w:type="paragraph" w:styleId="Textpoznpodarou">
    <w:name w:val="footnote text"/>
    <w:basedOn w:val="Normln"/>
    <w:link w:val="TextpoznpodarouChar"/>
    <w:uiPriority w:val="99"/>
    <w:semiHidden/>
    <w:unhideWhenUsed/>
    <w:rsid w:val="00180E49"/>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180E49"/>
    <w:rPr>
      <w:sz w:val="20"/>
      <w:szCs w:val="20"/>
    </w:rPr>
  </w:style>
  <w:style w:type="character" w:styleId="Znakapoznpodarou">
    <w:name w:val="footnote reference"/>
    <w:basedOn w:val="Standardnpsmoodstavce"/>
    <w:uiPriority w:val="99"/>
    <w:semiHidden/>
    <w:unhideWhenUsed/>
    <w:rsid w:val="00180E49"/>
    <w:rPr>
      <w:vertAlign w:val="superscript"/>
    </w:rPr>
  </w:style>
  <w:style w:type="character" w:styleId="Sledovanodkaz">
    <w:name w:val="FollowedHyperlink"/>
    <w:basedOn w:val="Standardnpsmoodstavce"/>
    <w:uiPriority w:val="99"/>
    <w:semiHidden/>
    <w:unhideWhenUsed/>
    <w:rsid w:val="008C112C"/>
    <w:rPr>
      <w:color w:val="800080" w:themeColor="followedHyperlink"/>
      <w:u w:val="single"/>
    </w:rPr>
  </w:style>
  <w:style w:type="table" w:styleId="Mkatabulky">
    <w:name w:val="Table Grid"/>
    <w:basedOn w:val="Normlntabulka"/>
    <w:uiPriority w:val="59"/>
    <w:rsid w:val="001B40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17BD"/>
    <w:pPr>
      <w:autoSpaceDE w:val="0"/>
      <w:autoSpaceDN w:val="0"/>
      <w:adjustRightInd w:val="0"/>
      <w:spacing w:after="0" w:line="240" w:lineRule="auto"/>
    </w:pPr>
    <w:rPr>
      <w:rFonts w:ascii="EUAlbertina" w:eastAsiaTheme="minorHAnsi" w:hAnsi="EUAlbertina" w:cs="EUAlbertin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60324443">
      <w:bodyDiv w:val="1"/>
      <w:marLeft w:val="0"/>
      <w:marRight w:val="0"/>
      <w:marTop w:val="0"/>
      <w:marBottom w:val="0"/>
      <w:divBdr>
        <w:top w:val="none" w:sz="0" w:space="0" w:color="auto"/>
        <w:left w:val="none" w:sz="0" w:space="0" w:color="auto"/>
        <w:bottom w:val="none" w:sz="0" w:space="0" w:color="auto"/>
        <w:right w:val="none" w:sz="0" w:space="0" w:color="auto"/>
      </w:divBdr>
    </w:div>
    <w:div w:id="722557337">
      <w:bodyDiv w:val="1"/>
      <w:marLeft w:val="0"/>
      <w:marRight w:val="0"/>
      <w:marTop w:val="0"/>
      <w:marBottom w:val="0"/>
      <w:divBdr>
        <w:top w:val="none" w:sz="0" w:space="0" w:color="auto"/>
        <w:left w:val="none" w:sz="0" w:space="0" w:color="auto"/>
        <w:bottom w:val="none" w:sz="0" w:space="0" w:color="auto"/>
        <w:right w:val="none" w:sz="0" w:space="0" w:color="auto"/>
      </w:divBdr>
    </w:div>
    <w:div w:id="18097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F682-5AD3-40F5-8954-EE2F30EB3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1003</Words>
  <Characters>5923</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Pecanek</dc:creator>
  <cp:lastModifiedBy>Pecanek 2</cp:lastModifiedBy>
  <cp:revision>4</cp:revision>
  <dcterms:created xsi:type="dcterms:W3CDTF">2018-01-10T08:14:00Z</dcterms:created>
  <dcterms:modified xsi:type="dcterms:W3CDTF">2018-01-10T13:06:00Z</dcterms:modified>
</cp:coreProperties>
</file>