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C" w:rsidRDefault="00EF7B3C" w:rsidP="00092A93">
      <w:pPr>
        <w:jc w:val="center"/>
        <w:rPr>
          <w:b/>
          <w:sz w:val="28"/>
          <w:szCs w:val="28"/>
        </w:rPr>
      </w:pPr>
    </w:p>
    <w:p w:rsidR="00B76F07" w:rsidRDefault="00B76F07" w:rsidP="00B76F07">
      <w:pPr>
        <w:spacing w:after="0" w:line="240" w:lineRule="auto"/>
        <w:jc w:val="center"/>
        <w:rPr>
          <w:b/>
          <w:sz w:val="28"/>
          <w:szCs w:val="28"/>
        </w:rPr>
      </w:pPr>
      <w:r w:rsidRPr="00B76F07">
        <w:rPr>
          <w:b/>
          <w:sz w:val="28"/>
          <w:szCs w:val="28"/>
        </w:rPr>
        <w:t>Připomínky Českého plynárenského svazu (ČPS)</w:t>
      </w:r>
      <w:r>
        <w:rPr>
          <w:b/>
          <w:sz w:val="28"/>
          <w:szCs w:val="28"/>
        </w:rPr>
        <w:t xml:space="preserve"> k n</w:t>
      </w:r>
      <w:r w:rsidRPr="00B76F07">
        <w:rPr>
          <w:b/>
          <w:sz w:val="28"/>
          <w:szCs w:val="28"/>
        </w:rPr>
        <w:t>ávrh</w:t>
      </w:r>
      <w:r>
        <w:rPr>
          <w:b/>
          <w:sz w:val="28"/>
          <w:szCs w:val="28"/>
        </w:rPr>
        <w:t>u</w:t>
      </w:r>
      <w:r w:rsidRPr="00B76F07">
        <w:rPr>
          <w:b/>
          <w:sz w:val="28"/>
          <w:szCs w:val="28"/>
        </w:rPr>
        <w:t xml:space="preserve"> cenového rozhodnutí, kterým se stanovuje podpora pro podporované zdroje energie na rok 2018</w:t>
      </w:r>
      <w:r>
        <w:rPr>
          <w:b/>
          <w:sz w:val="28"/>
          <w:szCs w:val="28"/>
        </w:rPr>
        <w:t xml:space="preserve"> (návrh cenového rozhodnutí)</w:t>
      </w:r>
    </w:p>
    <w:p w:rsidR="00B76F07" w:rsidRDefault="00B76F07" w:rsidP="00B76F07">
      <w:pPr>
        <w:spacing w:after="0" w:line="240" w:lineRule="auto"/>
        <w:jc w:val="center"/>
        <w:rPr>
          <w:b/>
          <w:sz w:val="28"/>
          <w:szCs w:val="28"/>
        </w:rPr>
      </w:pPr>
    </w:p>
    <w:p w:rsidR="00B76F07" w:rsidRPr="00B76F07" w:rsidRDefault="00B76F07" w:rsidP="00B76F07">
      <w:pPr>
        <w:spacing w:after="0" w:line="240" w:lineRule="auto"/>
        <w:jc w:val="both"/>
        <w:rPr>
          <w:rStyle w:val="Siln"/>
          <w:b w:val="0"/>
        </w:rPr>
      </w:pPr>
    </w:p>
    <w:p w:rsidR="00B76F07" w:rsidRPr="00B76F07" w:rsidRDefault="00B76F07" w:rsidP="00B76F07">
      <w:pPr>
        <w:spacing w:after="0" w:line="240" w:lineRule="auto"/>
        <w:jc w:val="both"/>
        <w:rPr>
          <w:rStyle w:val="Siln"/>
          <w:b w:val="0"/>
          <w:u w:val="single"/>
        </w:rPr>
      </w:pPr>
      <w:r w:rsidRPr="00B76F07">
        <w:rPr>
          <w:rStyle w:val="Siln"/>
          <w:b w:val="0"/>
          <w:u w:val="single"/>
        </w:rPr>
        <w:t>Připomínky k navrhované výši ročního zeleného bonusu na elektřinu pro elektřinu vyrobenou z </w:t>
      </w:r>
      <w:proofErr w:type="spellStart"/>
      <w:r w:rsidRPr="00B76F07">
        <w:rPr>
          <w:rStyle w:val="Siln"/>
          <w:b w:val="0"/>
          <w:u w:val="single"/>
        </w:rPr>
        <w:t>vysokoúčinné</w:t>
      </w:r>
      <w:proofErr w:type="spellEnd"/>
      <w:r w:rsidRPr="00B76F07">
        <w:rPr>
          <w:rStyle w:val="Siln"/>
          <w:b w:val="0"/>
          <w:u w:val="single"/>
        </w:rPr>
        <w:t xml:space="preserve"> kombinované výroby elektřiny a tepla (</w:t>
      </w:r>
      <w:proofErr w:type="spellStart"/>
      <w:r w:rsidRPr="00B76F07">
        <w:rPr>
          <w:rStyle w:val="Siln"/>
          <w:b w:val="0"/>
          <w:u w:val="single"/>
        </w:rPr>
        <w:t>KVET</w:t>
      </w:r>
      <w:proofErr w:type="spellEnd"/>
      <w:r w:rsidRPr="00B76F07">
        <w:rPr>
          <w:rStyle w:val="Siln"/>
          <w:b w:val="0"/>
          <w:u w:val="single"/>
        </w:rPr>
        <w:t>).</w:t>
      </w:r>
    </w:p>
    <w:p w:rsidR="00B76F07" w:rsidRPr="00B76F07" w:rsidRDefault="00B76F07" w:rsidP="00B76F07">
      <w:pPr>
        <w:spacing w:after="0" w:line="240" w:lineRule="auto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bCs/>
        </w:rPr>
      </w:pPr>
      <w:r w:rsidRPr="00B76F07">
        <w:rPr>
          <w:rStyle w:val="Siln"/>
          <w:b w:val="0"/>
        </w:rPr>
        <w:t xml:space="preserve">Uvítali bychom, pokud by i do budoucna ERÚ </w:t>
      </w:r>
      <w:r w:rsidRPr="00B76F07">
        <w:rPr>
          <w:rFonts w:cs="Times New Roman"/>
          <w:color w:val="212121"/>
        </w:rPr>
        <w:t>zveřejňoval metodiku pro stanovení vstupních cen, které vstupují do výpočtu výše zeleného bonusu.</w:t>
      </w:r>
    </w:p>
    <w:p w:rsidR="00B76F07" w:rsidRPr="00B76F07" w:rsidRDefault="00B76F07" w:rsidP="00B76F0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ČPS podporuje připomínky spolku </w:t>
      </w:r>
      <w:proofErr w:type="spellStart"/>
      <w:r w:rsidRPr="00B76F07">
        <w:rPr>
          <w:rStyle w:val="Siln"/>
          <w:b w:val="0"/>
        </w:rPr>
        <w:t>COGEN</w:t>
      </w:r>
      <w:proofErr w:type="spellEnd"/>
      <w:r w:rsidRPr="00B76F07">
        <w:rPr>
          <w:rStyle w:val="Siln"/>
          <w:b w:val="0"/>
        </w:rPr>
        <w:t xml:space="preserve"> </w:t>
      </w:r>
      <w:proofErr w:type="spellStart"/>
      <w:r w:rsidRPr="00B76F07">
        <w:rPr>
          <w:rStyle w:val="Siln"/>
          <w:b w:val="0"/>
        </w:rPr>
        <w:t>Czech</w:t>
      </w:r>
      <w:proofErr w:type="spellEnd"/>
      <w:r w:rsidRPr="00B76F07">
        <w:rPr>
          <w:rStyle w:val="Siln"/>
          <w:b w:val="0"/>
        </w:rPr>
        <w:t xml:space="preserve"> k návrhu cenového rozhodnutí, a to zejména požadavek na to, aby v souladu s § 12 odst. 5 zákona č. 165/2012 Sb. ERÚ při výpočtu výše zeleného bonusu pro </w:t>
      </w:r>
      <w:proofErr w:type="spellStart"/>
      <w:r w:rsidRPr="00B76F07">
        <w:rPr>
          <w:rStyle w:val="Siln"/>
          <w:b w:val="0"/>
        </w:rPr>
        <w:t>KVET</w:t>
      </w:r>
      <w:proofErr w:type="spellEnd"/>
      <w:r w:rsidRPr="00B76F07">
        <w:rPr>
          <w:rStyle w:val="Siln"/>
          <w:b w:val="0"/>
        </w:rPr>
        <w:t xml:space="preserve"> zohlednil meziroční vývoj cen elektřiny a primárních energetických zdrojů a reálné podmínky provozu kogeneračních jednotek.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Pro stanovení ceny silové elektřiny </w:t>
      </w:r>
      <w:r w:rsidR="00B47DB2">
        <w:rPr>
          <w:rStyle w:val="Siln"/>
          <w:b w:val="0"/>
        </w:rPr>
        <w:t xml:space="preserve">by </w:t>
      </w:r>
      <w:r w:rsidRPr="00B76F07">
        <w:rPr>
          <w:rStyle w:val="Siln"/>
          <w:b w:val="0"/>
        </w:rPr>
        <w:t>mělo být použito delší časové období než pouze jeden měsíc, jak navrhuje ERÚ. Adekvátním časovým úsekem by mělo být období první poloviny roku (leden – červen) tak, aby došlo k eliminaci krátkodobých výkyvů cen a zohlednění dlouhodobých trendů vývoje ceny či sezónnosti, tedy jak zimní, tak i letní období. Stejné časové období by mělo být použito pro výpočet průměrné ceny jak prodávané elektřiny, tak i nakupovaného plynu.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47DB2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K požadavku náležitého zohlednění </w:t>
      </w:r>
      <w:r w:rsidR="00B76F07" w:rsidRPr="00B76F07">
        <w:rPr>
          <w:rStyle w:val="Siln"/>
          <w:b w:val="0"/>
        </w:rPr>
        <w:t>meziroční změn</w:t>
      </w:r>
      <w:r>
        <w:rPr>
          <w:rStyle w:val="Siln"/>
          <w:b w:val="0"/>
        </w:rPr>
        <w:t>y</w:t>
      </w:r>
      <w:r w:rsidR="00B76F07" w:rsidRPr="00B76F07">
        <w:rPr>
          <w:rStyle w:val="Siln"/>
          <w:b w:val="0"/>
        </w:rPr>
        <w:t xml:space="preserve"> cen</w:t>
      </w:r>
      <w:r>
        <w:rPr>
          <w:rStyle w:val="Siln"/>
          <w:b w:val="0"/>
        </w:rPr>
        <w:t xml:space="preserve">y </w:t>
      </w:r>
      <w:r w:rsidR="00B76F07" w:rsidRPr="00B76F07">
        <w:rPr>
          <w:rStyle w:val="Siln"/>
          <w:b w:val="0"/>
        </w:rPr>
        <w:t>energií</w:t>
      </w:r>
      <w:r>
        <w:rPr>
          <w:rStyle w:val="Siln"/>
          <w:b w:val="0"/>
        </w:rPr>
        <w:t xml:space="preserve"> zde níže pro ilustraci uvádíme:</w:t>
      </w:r>
    </w:p>
    <w:p w:rsidR="00B76F07" w:rsidRPr="00B76F07" w:rsidRDefault="00B76F07" w:rsidP="00B47DB2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Průměrné ceny ročních </w:t>
      </w:r>
      <w:proofErr w:type="spellStart"/>
      <w:r w:rsidRPr="00B76F07">
        <w:rPr>
          <w:rStyle w:val="Siln"/>
          <w:b w:val="0"/>
        </w:rPr>
        <w:t>forwardových</w:t>
      </w:r>
      <w:proofErr w:type="spellEnd"/>
      <w:r w:rsidRPr="00B76F07">
        <w:rPr>
          <w:rStyle w:val="Siln"/>
          <w:b w:val="0"/>
        </w:rPr>
        <w:t xml:space="preserve"> produktů (</w:t>
      </w:r>
      <w:proofErr w:type="spellStart"/>
      <w:r w:rsidRPr="00B76F07">
        <w:rPr>
          <w:rStyle w:val="Siln"/>
          <w:b w:val="0"/>
        </w:rPr>
        <w:t>EEX</w:t>
      </w:r>
      <w:proofErr w:type="spellEnd"/>
      <w:r w:rsidRPr="00B76F07">
        <w:rPr>
          <w:rStyle w:val="Siln"/>
          <w:b w:val="0"/>
        </w:rPr>
        <w:t>) za období leden až červen 2016 na rok 2017</w:t>
      </w:r>
    </w:p>
    <w:p w:rsidR="00B76F07" w:rsidRPr="00B76F07" w:rsidRDefault="00B76F07" w:rsidP="003E0EA4">
      <w:pPr>
        <w:pStyle w:val="Odstavecseseznamem"/>
        <w:numPr>
          <w:ilvl w:val="0"/>
          <w:numId w:val="11"/>
        </w:numPr>
        <w:tabs>
          <w:tab w:val="left" w:pos="567"/>
          <w:tab w:val="right" w:pos="2977"/>
          <w:tab w:val="left" w:pos="3119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>Zemní plyn</w:t>
      </w:r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401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>spalného tepla</w:t>
      </w:r>
      <w:r w:rsidR="00B47DB2">
        <w:rPr>
          <w:rStyle w:val="Siln"/>
          <w:b w:val="0"/>
        </w:rPr>
        <w:t>,</w:t>
      </w:r>
    </w:p>
    <w:p w:rsidR="00B76F07" w:rsidRPr="00B76F07" w:rsidRDefault="00B76F07" w:rsidP="00B47DB2">
      <w:pPr>
        <w:pStyle w:val="Odstavecseseznamem"/>
        <w:numPr>
          <w:ilvl w:val="0"/>
          <w:numId w:val="11"/>
        </w:numPr>
        <w:tabs>
          <w:tab w:val="left" w:pos="567"/>
          <w:tab w:val="right" w:pos="2977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proofErr w:type="spellStart"/>
      <w:r w:rsidRPr="00B76F07">
        <w:rPr>
          <w:rStyle w:val="Siln"/>
          <w:b w:val="0"/>
        </w:rPr>
        <w:t>Baseload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646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>,</w:t>
      </w:r>
    </w:p>
    <w:p w:rsidR="00B76F07" w:rsidRPr="00B76F07" w:rsidRDefault="00B76F07" w:rsidP="00B47DB2">
      <w:pPr>
        <w:pStyle w:val="Odstavecseseznamem"/>
        <w:numPr>
          <w:ilvl w:val="0"/>
          <w:numId w:val="11"/>
        </w:numPr>
        <w:tabs>
          <w:tab w:val="left" w:pos="567"/>
          <w:tab w:val="right" w:pos="2977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proofErr w:type="spellStart"/>
      <w:r w:rsidRPr="00B76F07">
        <w:rPr>
          <w:rStyle w:val="Siln"/>
          <w:b w:val="0"/>
        </w:rPr>
        <w:t>Peakload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815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>.</w:t>
      </w:r>
    </w:p>
    <w:p w:rsidR="00B76F07" w:rsidRPr="00B76F07" w:rsidRDefault="00B76F07" w:rsidP="00B47DB2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Průměrné ceny ročních </w:t>
      </w:r>
      <w:proofErr w:type="spellStart"/>
      <w:r w:rsidRPr="00B76F07">
        <w:rPr>
          <w:rStyle w:val="Siln"/>
          <w:b w:val="0"/>
        </w:rPr>
        <w:t>forwardových</w:t>
      </w:r>
      <w:proofErr w:type="spellEnd"/>
      <w:r w:rsidRPr="00B76F07">
        <w:rPr>
          <w:rStyle w:val="Siln"/>
          <w:b w:val="0"/>
        </w:rPr>
        <w:t xml:space="preserve"> produktů (</w:t>
      </w:r>
      <w:proofErr w:type="spellStart"/>
      <w:r w:rsidRPr="00B76F07">
        <w:rPr>
          <w:rStyle w:val="Siln"/>
          <w:b w:val="0"/>
        </w:rPr>
        <w:t>EEX</w:t>
      </w:r>
      <w:proofErr w:type="spellEnd"/>
      <w:r w:rsidRPr="00B76F07">
        <w:rPr>
          <w:rStyle w:val="Siln"/>
          <w:b w:val="0"/>
        </w:rPr>
        <w:t>) za období leden až červen 2017 na rok 2018:</w:t>
      </w:r>
    </w:p>
    <w:p w:rsidR="00B76F07" w:rsidRPr="00B76F07" w:rsidRDefault="00B76F07" w:rsidP="003E0EA4">
      <w:pPr>
        <w:pStyle w:val="Odstavecseseznamem"/>
        <w:numPr>
          <w:ilvl w:val="0"/>
          <w:numId w:val="11"/>
        </w:numPr>
        <w:tabs>
          <w:tab w:val="left" w:pos="567"/>
          <w:tab w:val="right" w:pos="2977"/>
          <w:tab w:val="left" w:pos="3119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>Zemní plyn</w:t>
      </w:r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459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>spalného tepla</w:t>
      </w:r>
      <w:r w:rsidR="00B47DB2">
        <w:rPr>
          <w:rStyle w:val="Siln"/>
          <w:b w:val="0"/>
        </w:rPr>
        <w:t>,</w:t>
      </w:r>
    </w:p>
    <w:p w:rsidR="00B76F07" w:rsidRPr="00B76F07" w:rsidRDefault="00B76F07" w:rsidP="00B47DB2">
      <w:pPr>
        <w:pStyle w:val="Odstavecseseznamem"/>
        <w:numPr>
          <w:ilvl w:val="0"/>
          <w:numId w:val="11"/>
        </w:numPr>
        <w:tabs>
          <w:tab w:val="left" w:pos="567"/>
          <w:tab w:val="right" w:pos="2977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proofErr w:type="spellStart"/>
      <w:r w:rsidRPr="00B76F07">
        <w:rPr>
          <w:rStyle w:val="Siln"/>
          <w:b w:val="0"/>
        </w:rPr>
        <w:t>Baseload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802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>,</w:t>
      </w:r>
    </w:p>
    <w:p w:rsidR="00B76F07" w:rsidRPr="00B76F07" w:rsidRDefault="00B76F07" w:rsidP="00B47DB2">
      <w:pPr>
        <w:pStyle w:val="Odstavecseseznamem"/>
        <w:numPr>
          <w:ilvl w:val="0"/>
          <w:numId w:val="11"/>
        </w:numPr>
        <w:tabs>
          <w:tab w:val="left" w:pos="567"/>
          <w:tab w:val="right" w:pos="2977"/>
        </w:tabs>
        <w:spacing w:after="0" w:line="240" w:lineRule="auto"/>
        <w:ind w:left="284" w:firstLine="0"/>
        <w:contextualSpacing w:val="0"/>
        <w:jc w:val="both"/>
        <w:rPr>
          <w:rStyle w:val="Siln"/>
          <w:b w:val="0"/>
        </w:rPr>
      </w:pPr>
      <w:proofErr w:type="spellStart"/>
      <w:r w:rsidRPr="00B76F07">
        <w:rPr>
          <w:rStyle w:val="Siln"/>
          <w:b w:val="0"/>
        </w:rPr>
        <w:t>Peakload</w:t>
      </w:r>
      <w:proofErr w:type="spellEnd"/>
      <w:r w:rsidR="00B47DB2">
        <w:rPr>
          <w:rStyle w:val="Siln"/>
          <w:b w:val="0"/>
        </w:rPr>
        <w:tab/>
      </w:r>
      <w:r w:rsidRPr="00B76F07">
        <w:rPr>
          <w:rStyle w:val="Siln"/>
          <w:b w:val="0"/>
        </w:rPr>
        <w:t xml:space="preserve">1015 </w:t>
      </w:r>
      <w:proofErr w:type="spellStart"/>
      <w:r w:rsidRPr="00B76F07">
        <w:rPr>
          <w:rStyle w:val="Siln"/>
          <w:b w:val="0"/>
        </w:rPr>
        <w:t>Kč</w:t>
      </w:r>
      <w:proofErr w:type="spellEnd"/>
      <w:r w:rsidRPr="00B76F07">
        <w:rPr>
          <w:rStyle w:val="Siln"/>
          <w:b w:val="0"/>
        </w:rPr>
        <w:t>/</w:t>
      </w:r>
      <w:proofErr w:type="spellStart"/>
      <w:r w:rsidRPr="00B76F07">
        <w:rPr>
          <w:rStyle w:val="Siln"/>
          <w:b w:val="0"/>
        </w:rPr>
        <w:t>MWh</w:t>
      </w:r>
      <w:proofErr w:type="spellEnd"/>
      <w:r w:rsidR="00B47DB2">
        <w:rPr>
          <w:rStyle w:val="Siln"/>
          <w:b w:val="0"/>
        </w:rPr>
        <w:t>.</w:t>
      </w:r>
    </w:p>
    <w:p w:rsidR="00B47DB2" w:rsidRDefault="00B47DB2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Z výše uvedených údajů plyne, že meziročně došlo jak k nárůstu nákladů na výrobu elektřiny z </w:t>
      </w:r>
      <w:proofErr w:type="spellStart"/>
      <w:r w:rsidRPr="00B76F07">
        <w:rPr>
          <w:rStyle w:val="Siln"/>
          <w:b w:val="0"/>
        </w:rPr>
        <w:t>KVET</w:t>
      </w:r>
      <w:proofErr w:type="spellEnd"/>
      <w:r w:rsidRPr="00B76F07">
        <w:rPr>
          <w:rStyle w:val="Siln"/>
          <w:b w:val="0"/>
        </w:rPr>
        <w:t xml:space="preserve"> vlivem zvýšení ceny zemního plynu, tak i ke zvýšení výnosů vlivem zvýšení ceny elektřiny. Zelený bonus by měl, jako tomu bylo v minulosti, zohlednit odpovídajícím způsobem výše uvedený meziroční vývoj těchto komodit</w:t>
      </w:r>
      <w:r w:rsidR="000D4FFB">
        <w:rPr>
          <w:rStyle w:val="Siln"/>
          <w:b w:val="0"/>
        </w:rPr>
        <w:t>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0D4FFB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</w:rPr>
      </w:pPr>
      <w:r w:rsidRPr="000D4FFB">
        <w:rPr>
          <w:rStyle w:val="Siln"/>
        </w:rPr>
        <w:t>Při zohlednění</w:t>
      </w:r>
      <w:r w:rsidRPr="000D4FFB">
        <w:rPr>
          <w:rStyle w:val="Siln"/>
          <w:bCs w:val="0"/>
        </w:rPr>
        <w:t xml:space="preserve"> principu předvídatelnosti a </w:t>
      </w:r>
      <w:r w:rsidRPr="000D4FFB">
        <w:rPr>
          <w:rStyle w:val="Siln"/>
        </w:rPr>
        <w:t xml:space="preserve">za účelem zajištění </w:t>
      </w:r>
      <w:r w:rsidRPr="000D4FFB">
        <w:rPr>
          <w:rStyle w:val="Siln"/>
          <w:bCs w:val="0"/>
        </w:rPr>
        <w:t xml:space="preserve">stability regulace </w:t>
      </w:r>
      <w:r w:rsidRPr="000D4FFB">
        <w:rPr>
          <w:rStyle w:val="Siln"/>
        </w:rPr>
        <w:t xml:space="preserve">cen </w:t>
      </w:r>
      <w:r w:rsidRPr="000D4FFB">
        <w:rPr>
          <w:rStyle w:val="Siln"/>
          <w:bCs w:val="0"/>
        </w:rPr>
        <w:t xml:space="preserve">by relevantním obdobím </w:t>
      </w:r>
      <w:r w:rsidRPr="000D4FFB">
        <w:rPr>
          <w:rStyle w:val="Siln"/>
        </w:rPr>
        <w:t>pro stanovení výše zeleného bonusu mělo být</w:t>
      </w:r>
      <w:r w:rsidRPr="000D4FFB">
        <w:rPr>
          <w:rStyle w:val="Siln"/>
          <w:bCs w:val="0"/>
        </w:rPr>
        <w:t xml:space="preserve"> </w:t>
      </w:r>
      <w:r w:rsidRPr="000D4FFB">
        <w:rPr>
          <w:rStyle w:val="Siln"/>
        </w:rPr>
        <w:t xml:space="preserve">období </w:t>
      </w:r>
      <w:r w:rsidRPr="000D4FFB">
        <w:rPr>
          <w:rStyle w:val="Siln"/>
          <w:bCs w:val="0"/>
        </w:rPr>
        <w:t xml:space="preserve">12 měsíců předcházejících měsíci vydání cenového rozhodnutí, kdy by změny </w:t>
      </w:r>
      <w:r w:rsidRPr="000D4FFB">
        <w:rPr>
          <w:rStyle w:val="Siln"/>
        </w:rPr>
        <w:t>c</w:t>
      </w:r>
      <w:r w:rsidRPr="000D4FFB">
        <w:rPr>
          <w:rStyle w:val="Siln"/>
          <w:bCs w:val="0"/>
        </w:rPr>
        <w:t>en energií byly zohledněny na bázi celoročního vývoje (úplných předchozích 12 měsíců), tedy od srpna do července (vždy nejbližších předchozích let), pak by meziroční pokles výše zeleného bonusu byl ještě menší</w:t>
      </w:r>
      <w:r w:rsidRPr="000D4FFB">
        <w:rPr>
          <w:rStyle w:val="Siln"/>
        </w:rPr>
        <w:t>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Dále by poměr zastoupení ceny jednotlivých obchodovaných produktů elektřiny na burze ve výpočtu měl v maximální možné míře odpovídat režimu provozu „malého“ </w:t>
      </w:r>
      <w:proofErr w:type="spellStart"/>
      <w:r w:rsidRPr="00B76F07">
        <w:rPr>
          <w:rStyle w:val="Siln"/>
          <w:b w:val="0"/>
        </w:rPr>
        <w:t>KVET</w:t>
      </w:r>
      <w:proofErr w:type="spellEnd"/>
      <w:r w:rsidRPr="00B76F07">
        <w:rPr>
          <w:rStyle w:val="Siln"/>
          <w:b w:val="0"/>
        </w:rPr>
        <w:t xml:space="preserve"> při daném ročním počtu hodin provozu, který je ovlivněn spotřebou tepla. </w:t>
      </w:r>
      <w:r w:rsidR="000D4FFB">
        <w:rPr>
          <w:rStyle w:val="Siln"/>
          <w:b w:val="0"/>
          <w:bCs w:val="0"/>
        </w:rPr>
        <w:t>Pro případ výpočtu s využitím 3 </w:t>
      </w:r>
      <w:r w:rsidRPr="00B76F07">
        <w:rPr>
          <w:rStyle w:val="Siln"/>
          <w:b w:val="0"/>
          <w:bCs w:val="0"/>
        </w:rPr>
        <w:t>500 hod</w:t>
      </w:r>
      <w:r w:rsidR="000D4FFB">
        <w:rPr>
          <w:rStyle w:val="Siln"/>
          <w:b w:val="0"/>
          <w:bCs w:val="0"/>
        </w:rPr>
        <w:t>in</w:t>
      </w:r>
      <w:r w:rsidRPr="00B76F07">
        <w:rPr>
          <w:rStyle w:val="Siln"/>
          <w:b w:val="0"/>
          <w:bCs w:val="0"/>
        </w:rPr>
        <w:t xml:space="preserve"> jsme názoru, že pro použití poměru </w:t>
      </w:r>
      <w:proofErr w:type="spellStart"/>
      <w:r w:rsidRPr="00B76F07">
        <w:rPr>
          <w:rStyle w:val="Siln"/>
          <w:b w:val="0"/>
          <w:bCs w:val="0"/>
        </w:rPr>
        <w:t>PEAK</w:t>
      </w:r>
      <w:proofErr w:type="spellEnd"/>
      <w:r w:rsidRPr="00B76F07">
        <w:rPr>
          <w:rStyle w:val="Siln"/>
          <w:b w:val="0"/>
          <w:bCs w:val="0"/>
        </w:rPr>
        <w:t>/</w:t>
      </w:r>
      <w:proofErr w:type="spellStart"/>
      <w:r w:rsidRPr="00B76F07">
        <w:rPr>
          <w:rStyle w:val="Siln"/>
          <w:b w:val="0"/>
          <w:bCs w:val="0"/>
        </w:rPr>
        <w:t>OFFPE</w:t>
      </w:r>
      <w:r w:rsidRPr="00B76F07">
        <w:rPr>
          <w:rStyle w:val="Siln"/>
          <w:b w:val="0"/>
        </w:rPr>
        <w:t>A</w:t>
      </w:r>
      <w:r w:rsidRPr="00B76F07">
        <w:rPr>
          <w:rStyle w:val="Siln"/>
          <w:b w:val="0"/>
          <w:bCs w:val="0"/>
        </w:rPr>
        <w:t>K</w:t>
      </w:r>
      <w:proofErr w:type="spellEnd"/>
      <w:r w:rsidRPr="00B76F07">
        <w:rPr>
          <w:rStyle w:val="Siln"/>
          <w:b w:val="0"/>
          <w:bCs w:val="0"/>
        </w:rPr>
        <w:t xml:space="preserve"> nejlépe odpovídá následující provozní režim malého </w:t>
      </w:r>
      <w:proofErr w:type="spellStart"/>
      <w:r w:rsidRPr="00B76F07">
        <w:rPr>
          <w:rStyle w:val="Siln"/>
          <w:b w:val="0"/>
          <w:bCs w:val="0"/>
        </w:rPr>
        <w:t>KVET</w:t>
      </w:r>
      <w:proofErr w:type="spellEnd"/>
      <w:r w:rsidRPr="00B76F07">
        <w:rPr>
          <w:rStyle w:val="Siln"/>
          <w:b w:val="0"/>
          <w:bCs w:val="0"/>
        </w:rPr>
        <w:t>:</w:t>
      </w:r>
    </w:p>
    <w:p w:rsidR="00B76F07" w:rsidRPr="00B76F07" w:rsidRDefault="00B76F07" w:rsidP="000D4FF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Style w:val="Siln"/>
          <w:b w:val="0"/>
        </w:rPr>
      </w:pPr>
      <w:r w:rsidRPr="000D4FFB">
        <w:rPr>
          <w:rStyle w:val="Siln"/>
          <w:b w:val="0"/>
        </w:rPr>
        <w:t xml:space="preserve">v zimním období (půl roku bez víkendů) 12 hod v </w:t>
      </w:r>
      <w:proofErr w:type="spellStart"/>
      <w:r w:rsidRPr="000D4FFB">
        <w:rPr>
          <w:rStyle w:val="Siln"/>
          <w:b w:val="0"/>
        </w:rPr>
        <w:t>PEAK</w:t>
      </w:r>
      <w:proofErr w:type="spellEnd"/>
      <w:r w:rsidRPr="000D4FFB">
        <w:rPr>
          <w:rStyle w:val="Siln"/>
          <w:b w:val="0"/>
        </w:rPr>
        <w:t>, což je cca 1</w:t>
      </w:r>
      <w:r w:rsidR="000D4FFB">
        <w:rPr>
          <w:rStyle w:val="Siln"/>
          <w:b w:val="0"/>
        </w:rPr>
        <w:t> </w:t>
      </w:r>
      <w:r w:rsidRPr="000D4FFB">
        <w:rPr>
          <w:rStyle w:val="Siln"/>
          <w:b w:val="0"/>
        </w:rPr>
        <w:t>500 hod</w:t>
      </w:r>
      <w:r w:rsidR="000D4FFB">
        <w:rPr>
          <w:rStyle w:val="Siln"/>
          <w:b w:val="0"/>
        </w:rPr>
        <w:t>in,</w:t>
      </w:r>
    </w:p>
    <w:p w:rsidR="00B76F07" w:rsidRPr="00B76F07" w:rsidRDefault="00B76F07" w:rsidP="000D4FF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Style w:val="Siln"/>
          <w:b w:val="0"/>
        </w:rPr>
      </w:pPr>
      <w:r w:rsidRPr="000D4FFB">
        <w:rPr>
          <w:rStyle w:val="Siln"/>
          <w:b w:val="0"/>
        </w:rPr>
        <w:lastRenderedPageBreak/>
        <w:t xml:space="preserve">v letním období (půl roku bez víkendů) 4 hod </w:t>
      </w:r>
      <w:proofErr w:type="spellStart"/>
      <w:r w:rsidRPr="000D4FFB">
        <w:rPr>
          <w:rStyle w:val="Siln"/>
          <w:b w:val="0"/>
        </w:rPr>
        <w:t>PEAK</w:t>
      </w:r>
      <w:proofErr w:type="spellEnd"/>
      <w:r w:rsidRPr="000D4FFB">
        <w:rPr>
          <w:rStyle w:val="Siln"/>
          <w:b w:val="0"/>
        </w:rPr>
        <w:t>, což je cca 500 hod</w:t>
      </w:r>
      <w:r w:rsidR="000D4FFB">
        <w:rPr>
          <w:rStyle w:val="Siln"/>
          <w:b w:val="0"/>
        </w:rPr>
        <w:t>in,</w:t>
      </w:r>
    </w:p>
    <w:p w:rsidR="00B76F07" w:rsidRPr="00B76F07" w:rsidRDefault="00B76F07" w:rsidP="000D4FF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Style w:val="Siln"/>
          <w:b w:val="0"/>
        </w:rPr>
      </w:pPr>
      <w:r w:rsidRPr="000D4FFB">
        <w:rPr>
          <w:rStyle w:val="Siln"/>
          <w:b w:val="0"/>
        </w:rPr>
        <w:t xml:space="preserve">zbytek provozu do 3 500 hod </w:t>
      </w:r>
      <w:proofErr w:type="spellStart"/>
      <w:r w:rsidRPr="000D4FFB">
        <w:rPr>
          <w:rStyle w:val="Siln"/>
          <w:b w:val="0"/>
        </w:rPr>
        <w:t>OFFPEAK</w:t>
      </w:r>
      <w:proofErr w:type="spellEnd"/>
      <w:r w:rsidRPr="000D4FFB">
        <w:rPr>
          <w:rStyle w:val="Siln"/>
          <w:b w:val="0"/>
        </w:rPr>
        <w:t>, což je cca 1</w:t>
      </w:r>
      <w:r w:rsidR="000D4FFB">
        <w:rPr>
          <w:rStyle w:val="Siln"/>
          <w:b w:val="0"/>
        </w:rPr>
        <w:t> </w:t>
      </w:r>
      <w:r w:rsidRPr="000D4FFB">
        <w:rPr>
          <w:rStyle w:val="Siln"/>
          <w:b w:val="0"/>
        </w:rPr>
        <w:t>500 hod</w:t>
      </w:r>
      <w:r w:rsidR="000D4FFB">
        <w:rPr>
          <w:rStyle w:val="Siln"/>
          <w:b w:val="0"/>
        </w:rPr>
        <w:t>in.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 xml:space="preserve">S ohledem na výše uvedené proto navrhujeme, </w:t>
      </w:r>
      <w:r w:rsidRPr="00B76F07">
        <w:rPr>
          <w:rStyle w:val="Siln"/>
          <w:b w:val="0"/>
          <w:bCs w:val="0"/>
        </w:rPr>
        <w:t xml:space="preserve">aby byl ze strany ERÚ </w:t>
      </w:r>
      <w:r w:rsidR="000D4FFB" w:rsidRPr="00B76F07">
        <w:rPr>
          <w:rStyle w:val="Siln"/>
          <w:b w:val="0"/>
          <w:bCs w:val="0"/>
        </w:rPr>
        <w:t xml:space="preserve">použit </w:t>
      </w:r>
      <w:r w:rsidRPr="00B76F07">
        <w:rPr>
          <w:rStyle w:val="Siln"/>
          <w:b w:val="0"/>
          <w:bCs w:val="0"/>
        </w:rPr>
        <w:t xml:space="preserve">poměr </w:t>
      </w:r>
      <w:proofErr w:type="spellStart"/>
      <w:r w:rsidRPr="00B76F07">
        <w:rPr>
          <w:rStyle w:val="Siln"/>
          <w:b w:val="0"/>
          <w:bCs w:val="0"/>
        </w:rPr>
        <w:t>PEAK</w:t>
      </w:r>
      <w:proofErr w:type="spellEnd"/>
      <w:r w:rsidRPr="00B76F07">
        <w:rPr>
          <w:rStyle w:val="Siln"/>
          <w:b w:val="0"/>
          <w:bCs w:val="0"/>
        </w:rPr>
        <w:t>/</w:t>
      </w:r>
      <w:proofErr w:type="spellStart"/>
      <w:r w:rsidRPr="00B76F07">
        <w:rPr>
          <w:rStyle w:val="Siln"/>
          <w:b w:val="0"/>
          <w:bCs w:val="0"/>
        </w:rPr>
        <w:t>OFFPE</w:t>
      </w:r>
      <w:r w:rsidRPr="00B76F07">
        <w:rPr>
          <w:rStyle w:val="Siln"/>
          <w:b w:val="0"/>
        </w:rPr>
        <w:t>A</w:t>
      </w:r>
      <w:r w:rsidRPr="00B76F07">
        <w:rPr>
          <w:rStyle w:val="Siln"/>
          <w:b w:val="0"/>
          <w:bCs w:val="0"/>
        </w:rPr>
        <w:t>K</w:t>
      </w:r>
      <w:proofErr w:type="spellEnd"/>
      <w:r w:rsidRPr="00B76F07">
        <w:rPr>
          <w:rStyle w:val="Siln"/>
          <w:b w:val="0"/>
          <w:bCs w:val="0"/>
        </w:rPr>
        <w:t xml:space="preserve"> 1</w:t>
      </w:r>
      <w:r w:rsidR="000D4FFB">
        <w:rPr>
          <w:rStyle w:val="Siln"/>
          <w:b w:val="0"/>
          <w:bCs w:val="0"/>
        </w:rPr>
        <w:t> </w:t>
      </w:r>
      <w:r w:rsidRPr="00B76F07">
        <w:rPr>
          <w:rStyle w:val="Siln"/>
          <w:b w:val="0"/>
          <w:bCs w:val="0"/>
        </w:rPr>
        <w:t>992/1</w:t>
      </w:r>
      <w:r w:rsidR="000D4FFB">
        <w:rPr>
          <w:rStyle w:val="Siln"/>
          <w:b w:val="0"/>
          <w:bCs w:val="0"/>
        </w:rPr>
        <w:t> </w:t>
      </w:r>
      <w:r w:rsidRPr="00B76F07">
        <w:rPr>
          <w:rStyle w:val="Siln"/>
          <w:b w:val="0"/>
          <w:bCs w:val="0"/>
        </w:rPr>
        <w:t>508</w:t>
      </w:r>
      <w:r w:rsidRPr="00B76F07">
        <w:rPr>
          <w:rStyle w:val="Siln"/>
          <w:b w:val="0"/>
        </w:rPr>
        <w:t>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>Rovněž navrhujeme, aby byla v prodejní ceně elektřiny použité do modelu zohledněna cena odchylky, a to ve výši, jak je uvedena v článku (</w:t>
      </w:r>
      <w:proofErr w:type="gramStart"/>
      <w:r w:rsidRPr="00B76F07">
        <w:rPr>
          <w:rStyle w:val="Siln"/>
          <w:b w:val="0"/>
        </w:rPr>
        <w:t>1.12.) návrhu</w:t>
      </w:r>
      <w:proofErr w:type="gramEnd"/>
      <w:r w:rsidRPr="00B76F07">
        <w:rPr>
          <w:rStyle w:val="Siln"/>
          <w:b w:val="0"/>
        </w:rPr>
        <w:t xml:space="preserve"> cenového rozhodnutí pro neintermitentní zdroje, neboť finanční náklady spojené s odchylkou finálně vždy nese výrobce elektřiny. Cena silové energie získaná výpočtem z burzy by proto měla být ponížena o cenu odchylky.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3E0EA4" w:rsidRDefault="000D4FFB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Zde níže </w:t>
      </w:r>
      <w:r w:rsidR="003E0EA4">
        <w:rPr>
          <w:rStyle w:val="Siln"/>
          <w:b w:val="0"/>
        </w:rPr>
        <w:t xml:space="preserve">uvádíme </w:t>
      </w:r>
      <w:r w:rsidR="00B76F07" w:rsidRPr="00B76F07">
        <w:rPr>
          <w:rStyle w:val="Siln"/>
          <w:b w:val="0"/>
        </w:rPr>
        <w:t xml:space="preserve">návrh </w:t>
      </w:r>
      <w:r>
        <w:rPr>
          <w:rStyle w:val="Siln"/>
          <w:b w:val="0"/>
        </w:rPr>
        <w:t xml:space="preserve">znění článku </w:t>
      </w:r>
      <w:proofErr w:type="gramStart"/>
      <w:r>
        <w:rPr>
          <w:rStyle w:val="Siln"/>
          <w:b w:val="0"/>
        </w:rPr>
        <w:t>3.2. po</w:t>
      </w:r>
      <w:proofErr w:type="gramEnd"/>
      <w:r>
        <w:rPr>
          <w:rStyle w:val="Siln"/>
          <w:b w:val="0"/>
        </w:rPr>
        <w:t xml:space="preserve"> </w:t>
      </w:r>
      <w:r w:rsidR="00B76F07" w:rsidRPr="00B76F07">
        <w:rPr>
          <w:rStyle w:val="Siln"/>
          <w:b w:val="0"/>
        </w:rPr>
        <w:t>promítnutí na</w:t>
      </w:r>
      <w:r w:rsidR="003E0EA4">
        <w:rPr>
          <w:rStyle w:val="Siln"/>
          <w:b w:val="0"/>
        </w:rPr>
        <w:t xml:space="preserve">vrhovaných </w:t>
      </w:r>
      <w:r w:rsidR="00B76F07" w:rsidRPr="00B76F07">
        <w:rPr>
          <w:rStyle w:val="Siln"/>
          <w:b w:val="0"/>
        </w:rPr>
        <w:t>připomínek</w:t>
      </w:r>
      <w:r w:rsidR="003E0EA4">
        <w:rPr>
          <w:rStyle w:val="Siln"/>
          <w:b w:val="0"/>
        </w:rPr>
        <w:t>: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  <w:r w:rsidRPr="00B76F07">
        <w:rPr>
          <w:rStyle w:val="Siln"/>
          <w:b w:val="0"/>
        </w:rPr>
        <w:t>(3.2.) Základní sazba ročního zeleného bonusu na elektřinu z </w:t>
      </w:r>
      <w:proofErr w:type="spellStart"/>
      <w:r w:rsidRPr="00B76F07">
        <w:rPr>
          <w:rStyle w:val="Siln"/>
          <w:b w:val="0"/>
        </w:rPr>
        <w:t>KVET</w:t>
      </w:r>
      <w:proofErr w:type="spellEnd"/>
      <w:r w:rsidRPr="00B76F07">
        <w:rPr>
          <w:rStyle w:val="Siln"/>
          <w:b w:val="0"/>
        </w:rPr>
        <w:t xml:space="preserve"> pro výrobnu elektřiny s celkovým instalovaným výkonem kogeneračních jednotek do 5 </w:t>
      </w:r>
      <w:proofErr w:type="spellStart"/>
      <w:r w:rsidRPr="00B76F07">
        <w:rPr>
          <w:rStyle w:val="Siln"/>
          <w:b w:val="0"/>
        </w:rPr>
        <w:t>MWe</w:t>
      </w:r>
      <w:proofErr w:type="spellEnd"/>
      <w:r w:rsidRPr="00B76F07">
        <w:rPr>
          <w:rStyle w:val="Siln"/>
          <w:b w:val="0"/>
        </w:rPr>
        <w:t xml:space="preserve"> (včetně):</w:t>
      </w:r>
    </w:p>
    <w:p w:rsidR="00B76F07" w:rsidRPr="00B76F07" w:rsidRDefault="00B76F07" w:rsidP="00B76F07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30"/>
        <w:gridCol w:w="1208"/>
        <w:gridCol w:w="1246"/>
        <w:gridCol w:w="1163"/>
        <w:gridCol w:w="1276"/>
        <w:gridCol w:w="992"/>
        <w:gridCol w:w="1204"/>
      </w:tblGrid>
      <w:tr w:rsidR="00DE60AC" w:rsidRPr="00B76F07" w:rsidTr="00DE60AC">
        <w:trPr>
          <w:trHeight w:val="765"/>
        </w:trPr>
        <w:tc>
          <w:tcPr>
            <w:tcW w:w="2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6F07" w:rsidRPr="00B76F07" w:rsidRDefault="00B76F07" w:rsidP="00DE60A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Podporovaný druh energie</w:t>
            </w:r>
          </w:p>
        </w:tc>
        <w:tc>
          <w:tcPr>
            <w:tcW w:w="24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F07" w:rsidRPr="00B76F07" w:rsidRDefault="00B76F07" w:rsidP="003E0EA4">
            <w:pPr>
              <w:pStyle w:val="Default"/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B76F07">
              <w:rPr>
                <w:rFonts w:asciiTheme="minorHAnsi" w:hAnsiTheme="minorHAnsi"/>
                <w:sz w:val="22"/>
                <w:szCs w:val="22"/>
              </w:rPr>
              <w:t>Datum uvedení výrobny do provozu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Instalovaný výkon</w:t>
            </w:r>
          </w:p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 xml:space="preserve">výrobny </w:t>
            </w:r>
            <w:r w:rsidRPr="00B76F07">
              <w:rPr>
                <w:rFonts w:eastAsia="Times New Roman" w:cs="Arial"/>
                <w:bCs/>
                <w:color w:val="000000"/>
                <w:lang w:val="en-GB"/>
              </w:rPr>
              <w:t>[</w:t>
            </w:r>
            <w:r w:rsidRPr="00B76F07">
              <w:rPr>
                <w:rFonts w:eastAsia="Times New Roman" w:cs="Arial"/>
                <w:bCs/>
                <w:color w:val="000000"/>
              </w:rPr>
              <w:t>kW]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 xml:space="preserve">Provozní hodiny </w:t>
            </w:r>
            <w:r w:rsidRPr="00B76F07">
              <w:rPr>
                <w:rFonts w:eastAsia="Times New Roman" w:cs="Arial"/>
                <w:bCs/>
                <w:color w:val="000000"/>
                <w:lang w:val="en-GB"/>
              </w:rPr>
              <w:t>[</w:t>
            </w:r>
            <w:r w:rsidRPr="00B76F07">
              <w:rPr>
                <w:rFonts w:eastAsia="Times New Roman" w:cs="Arial"/>
                <w:bCs/>
                <w:color w:val="000000"/>
              </w:rPr>
              <w:t>h/rok]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Zelené bonusy [</w:t>
            </w:r>
            <w:proofErr w:type="spellStart"/>
            <w:r w:rsidRPr="00B76F07">
              <w:rPr>
                <w:rFonts w:eastAsia="Times New Roman" w:cs="Arial"/>
                <w:bCs/>
                <w:color w:val="000000"/>
              </w:rPr>
              <w:t>Kč</w:t>
            </w:r>
            <w:proofErr w:type="spellEnd"/>
            <w:r w:rsidRPr="00B76F07">
              <w:rPr>
                <w:rFonts w:eastAsia="Times New Roman" w:cs="Arial"/>
                <w:bCs/>
                <w:color w:val="000000"/>
              </w:rPr>
              <w:t>/</w:t>
            </w:r>
            <w:proofErr w:type="spellStart"/>
            <w:r w:rsidRPr="00B76F07">
              <w:rPr>
                <w:rFonts w:eastAsia="Times New Roman" w:cs="Arial"/>
                <w:bCs/>
                <w:color w:val="000000"/>
              </w:rPr>
              <w:t>MWh</w:t>
            </w:r>
            <w:proofErr w:type="spellEnd"/>
            <w:r w:rsidRPr="00B76F07">
              <w:rPr>
                <w:rFonts w:eastAsia="Times New Roman" w:cs="Arial"/>
                <w:bCs/>
                <w:color w:val="000000"/>
              </w:rPr>
              <w:t>]</w:t>
            </w:r>
          </w:p>
        </w:tc>
      </w:tr>
      <w:tr w:rsidR="00DE60AC" w:rsidRPr="00B76F07" w:rsidTr="00DE60AC">
        <w:trPr>
          <w:trHeight w:val="525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6F07" w:rsidRPr="00B76F07" w:rsidRDefault="00B76F07" w:rsidP="00B76F07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F07" w:rsidRPr="00B76F07" w:rsidRDefault="00B76F07" w:rsidP="00DE60A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od (včetně)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F07" w:rsidRPr="00B76F07" w:rsidRDefault="00B76F07" w:rsidP="00DE60A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do (včetně)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6F07" w:rsidRPr="00B76F07" w:rsidRDefault="00B76F07" w:rsidP="00DE60A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od (včetně)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6F07" w:rsidRPr="00B76F07" w:rsidRDefault="00B76F07" w:rsidP="00DE60A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do (včetně)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6F07" w:rsidRPr="00B76F07" w:rsidRDefault="00B76F07" w:rsidP="00B76F07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07" w:rsidRPr="00B76F07" w:rsidRDefault="00B76F07" w:rsidP="00B76F07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pStyle w:val="Default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76F07">
              <w:rPr>
                <w:rFonts w:asciiTheme="minorHAnsi" w:hAnsiTheme="minorHAnsi"/>
                <w:sz w:val="22"/>
                <w:szCs w:val="22"/>
              </w:rPr>
              <w:t xml:space="preserve">Elektřina z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KVET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s výjimkou elektřiny z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KVET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vyrobené ve výrobně elektřiny podporované podle bodu (1) a/nebo (</w:t>
            </w:r>
            <w:proofErr w:type="gramStart"/>
            <w:r w:rsidRPr="00B76F07">
              <w:rPr>
                <w:rFonts w:asciiTheme="minorHAnsi" w:hAnsiTheme="minorHAnsi"/>
                <w:sz w:val="22"/>
                <w:szCs w:val="22"/>
              </w:rPr>
              <w:t>2.1.) cenového</w:t>
            </w:r>
            <w:proofErr w:type="gram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rozhodnutí a s výjimkou elektřiny z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KVET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vyrobené ve výrobně elektřiny spalující komunální odpad a s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vyjímkou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bioplynových stanic podporovaných podle bodu (5) cenového rozhodnutí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3 000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Pr="00CF6432" w:rsidRDefault="00A34C7E" w:rsidP="00A34C7E">
            <w:pPr>
              <w:jc w:val="center"/>
            </w:pPr>
            <w:r w:rsidRPr="00CF6432">
              <w:t>1</w:t>
            </w:r>
            <w:r>
              <w:t> </w:t>
            </w:r>
            <w:r w:rsidRPr="00CF6432">
              <w:t>444</w:t>
            </w: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4 400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Pr="00CF6432" w:rsidRDefault="00A34C7E" w:rsidP="00A34C7E">
            <w:pPr>
              <w:jc w:val="center"/>
            </w:pPr>
            <w:r w:rsidRPr="00CF6432">
              <w:t>1</w:t>
            </w:r>
            <w:r>
              <w:t> </w:t>
            </w:r>
            <w:r w:rsidRPr="00CF6432">
              <w:t>013</w:t>
            </w: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1 000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Pr="00CF6432" w:rsidRDefault="00A34C7E" w:rsidP="00A34C7E">
            <w:pPr>
              <w:jc w:val="center"/>
            </w:pPr>
            <w:r w:rsidRPr="00CF6432">
              <w:t>1</w:t>
            </w:r>
            <w:r>
              <w:t> </w:t>
            </w:r>
            <w:r w:rsidRPr="00CF6432">
              <w:t>046</w:t>
            </w: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1 000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4 400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Pr="00CF6432" w:rsidRDefault="00A34C7E" w:rsidP="00A34C7E">
            <w:pPr>
              <w:jc w:val="center"/>
            </w:pPr>
            <w:r w:rsidRPr="00CF6432">
              <w:t>676</w:t>
            </w: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Pr="00CF6432" w:rsidRDefault="00A34C7E" w:rsidP="00A34C7E">
            <w:pPr>
              <w:jc w:val="center"/>
            </w:pPr>
            <w:r w:rsidRPr="00CF6432">
              <w:t>744</w:t>
            </w:r>
          </w:p>
        </w:tc>
      </w:tr>
      <w:tr w:rsidR="00A34C7E" w:rsidRPr="00B76F07" w:rsidTr="00A34C7E">
        <w:trPr>
          <w:trHeight w:val="170"/>
        </w:trPr>
        <w:tc>
          <w:tcPr>
            <w:tcW w:w="26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C7E" w:rsidRPr="00B76F07" w:rsidRDefault="00A34C7E" w:rsidP="00B76F0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4C7E" w:rsidRPr="00B76F07" w:rsidRDefault="00A34C7E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4 400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34C7E" w:rsidRDefault="00A34C7E" w:rsidP="00A34C7E">
            <w:pPr>
              <w:jc w:val="center"/>
            </w:pPr>
            <w:r w:rsidRPr="00CF6432">
              <w:t>434</w:t>
            </w:r>
          </w:p>
        </w:tc>
      </w:tr>
      <w:tr w:rsidR="00DE60AC" w:rsidRPr="00B76F07" w:rsidTr="00DE60AC">
        <w:trPr>
          <w:trHeight w:val="1035"/>
        </w:trPr>
        <w:tc>
          <w:tcPr>
            <w:tcW w:w="2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6F07" w:rsidRPr="00B76F07" w:rsidRDefault="00B76F07" w:rsidP="00B76F07">
            <w:pPr>
              <w:pStyle w:val="Default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76F07">
              <w:rPr>
                <w:rFonts w:asciiTheme="minorHAnsi" w:hAnsiTheme="minorHAnsi"/>
                <w:sz w:val="22"/>
                <w:szCs w:val="22"/>
              </w:rPr>
              <w:t xml:space="preserve">Elektřina z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KVET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vyrobená ve výrobně elektřiny současně podporované podle bodu (1) a/nebo (</w:t>
            </w:r>
            <w:proofErr w:type="gramStart"/>
            <w:r w:rsidRPr="00B76F07">
              <w:rPr>
                <w:rFonts w:asciiTheme="minorHAnsi" w:hAnsiTheme="minorHAnsi"/>
                <w:sz w:val="22"/>
                <w:szCs w:val="22"/>
              </w:rPr>
              <w:t>2.1.) cenového</w:t>
            </w:r>
            <w:proofErr w:type="gram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rozhodnutí a elektřina z </w:t>
            </w:r>
            <w:proofErr w:type="spellStart"/>
            <w:r w:rsidRPr="00B76F07">
              <w:rPr>
                <w:rFonts w:asciiTheme="minorHAnsi" w:hAnsiTheme="minorHAnsi"/>
                <w:sz w:val="22"/>
                <w:szCs w:val="22"/>
              </w:rPr>
              <w:t>KVET</w:t>
            </w:r>
            <w:proofErr w:type="spellEnd"/>
            <w:r w:rsidRPr="00B76F07">
              <w:rPr>
                <w:rFonts w:asciiTheme="minorHAnsi" w:hAnsiTheme="minorHAnsi"/>
                <w:sz w:val="22"/>
                <w:szCs w:val="22"/>
              </w:rPr>
              <w:t xml:space="preserve"> vyrobená ve výrobně elektřiny spalující komunální odpad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cs="Arial"/>
              </w:rPr>
            </w:pPr>
            <w:r w:rsidRPr="00B76F07">
              <w:rPr>
                <w:rFonts w:eastAsia="Times New Roman" w:cs="Arial"/>
                <w:color w:val="000000"/>
              </w:rPr>
              <w:t>31. 12. 2018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B76F07">
              <w:rPr>
                <w:rFonts w:eastAsia="Times New Roman" w:cs="Arial"/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07" w:rsidRPr="00B76F07" w:rsidRDefault="00B76F07" w:rsidP="003E0EA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B76F07">
              <w:rPr>
                <w:rFonts w:eastAsia="Times New Roman" w:cs="Arial"/>
                <w:bCs/>
                <w:color w:val="000000"/>
              </w:rPr>
              <w:t>45</w:t>
            </w:r>
          </w:p>
        </w:tc>
      </w:tr>
    </w:tbl>
    <w:p w:rsidR="00B76F07" w:rsidRPr="00B76F07" w:rsidRDefault="00B76F07" w:rsidP="003E0EA4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B76F07" w:rsidRPr="00B76F07" w:rsidRDefault="00B76F07" w:rsidP="003E0EA4">
      <w:pPr>
        <w:pStyle w:val="Odstavecseseznamem"/>
        <w:spacing w:after="0" w:line="240" w:lineRule="auto"/>
        <w:ind w:left="0"/>
        <w:contextualSpacing w:val="0"/>
        <w:jc w:val="both"/>
        <w:rPr>
          <w:rStyle w:val="Siln"/>
          <w:b w:val="0"/>
        </w:rPr>
      </w:pPr>
    </w:p>
    <w:p w:rsidR="00A031FB" w:rsidRDefault="00A031FB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0EA4" w:rsidRDefault="003E0EA4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0EA4" w:rsidRDefault="003E0EA4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0EA4" w:rsidRDefault="003E0EA4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0EA4" w:rsidRDefault="003E0EA4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Pr="00A031FB" w:rsidRDefault="00A031FB" w:rsidP="003E0E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Praha </w:t>
      </w:r>
      <w:r w:rsidR="003E0EA4">
        <w:rPr>
          <w:rFonts w:asciiTheme="minorHAnsi" w:hAnsiTheme="minorHAnsi"/>
          <w:color w:val="auto"/>
          <w:sz w:val="22"/>
          <w:szCs w:val="22"/>
        </w:rPr>
        <w:t>7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3E0EA4">
        <w:rPr>
          <w:rFonts w:asciiTheme="minorHAnsi" w:hAnsiTheme="minorHAnsi"/>
          <w:color w:val="auto"/>
          <w:sz w:val="22"/>
          <w:szCs w:val="22"/>
        </w:rPr>
        <w:t>září</w:t>
      </w:r>
      <w:r>
        <w:rPr>
          <w:rFonts w:asciiTheme="minorHAnsi" w:hAnsiTheme="minorHAnsi"/>
          <w:color w:val="auto"/>
          <w:sz w:val="22"/>
          <w:szCs w:val="22"/>
        </w:rPr>
        <w:t xml:space="preserve"> 2017</w:t>
      </w:r>
    </w:p>
    <w:sectPr w:rsidR="00A031FB" w:rsidRPr="00A031FB" w:rsidSect="00B76F07">
      <w:footerReference w:type="default" r:id="rId8"/>
      <w:headerReference w:type="first" r:id="rId9"/>
      <w:footerReference w:type="first" r:id="rId10"/>
      <w:pgSz w:w="11906" w:h="16838" w:code="9"/>
      <w:pgMar w:top="1962" w:right="1133" w:bottom="1135" w:left="1134" w:header="567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CE" w:rsidRDefault="00286DCE" w:rsidP="005A663A">
      <w:pPr>
        <w:spacing w:after="0" w:line="240" w:lineRule="auto"/>
      </w:pPr>
      <w:r>
        <w:separator/>
      </w:r>
    </w:p>
  </w:endnote>
  <w:endnote w:type="continuationSeparator" w:id="0">
    <w:p w:rsidR="00286DCE" w:rsidRDefault="00286DCE" w:rsidP="005A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98"/>
      <w:docPartObj>
        <w:docPartGallery w:val="Page Numbers (Bottom of Page)"/>
        <w:docPartUnique/>
      </w:docPartObj>
    </w:sdtPr>
    <w:sdtContent>
      <w:p w:rsidR="00A031FB" w:rsidRDefault="00730A93">
        <w:pPr>
          <w:pStyle w:val="Zpat"/>
          <w:jc w:val="center"/>
        </w:pPr>
        <w:r>
          <w:fldChar w:fldCharType="begin"/>
        </w:r>
        <w:r w:rsidR="00FD6696">
          <w:instrText xml:space="preserve"> PAGE   \* MERGEFORMAT </w:instrText>
        </w:r>
        <w:r>
          <w:fldChar w:fldCharType="separate"/>
        </w:r>
        <w:r w:rsidR="00A34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94"/>
      <w:docPartObj>
        <w:docPartGallery w:val="Page Numbers (Bottom of Page)"/>
        <w:docPartUnique/>
      </w:docPartObj>
    </w:sdtPr>
    <w:sdtContent>
      <w:p w:rsidR="00A031FB" w:rsidRDefault="00730A93">
        <w:pPr>
          <w:pStyle w:val="Zpat"/>
          <w:jc w:val="center"/>
        </w:pPr>
        <w:r>
          <w:fldChar w:fldCharType="begin"/>
        </w:r>
        <w:r w:rsidR="00FD6696">
          <w:instrText xml:space="preserve"> PAGE   \* MERGEFORMAT </w:instrText>
        </w:r>
        <w:r>
          <w:fldChar w:fldCharType="separate"/>
        </w:r>
        <w:r w:rsidR="00A34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CE" w:rsidRDefault="00286DCE" w:rsidP="005A663A">
      <w:pPr>
        <w:spacing w:after="0" w:line="240" w:lineRule="auto"/>
      </w:pPr>
      <w:r>
        <w:separator/>
      </w:r>
    </w:p>
  </w:footnote>
  <w:footnote w:type="continuationSeparator" w:id="0">
    <w:p w:rsidR="00286DCE" w:rsidRDefault="00286DCE" w:rsidP="005A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FB" w:rsidRDefault="00A031FB">
    <w:pPr>
      <w:pStyle w:val="Zhlav"/>
    </w:pPr>
    <w:r w:rsidRPr="00A031FB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97155</wp:posOffset>
          </wp:positionV>
          <wp:extent cx="2695575" cy="695325"/>
          <wp:effectExtent l="19050" t="0" r="9525" b="0"/>
          <wp:wrapSquare wrapText="bothSides"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71"/>
    <w:multiLevelType w:val="hybridMultilevel"/>
    <w:tmpl w:val="D4B6047C"/>
    <w:lvl w:ilvl="0" w:tplc="832E0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1539"/>
    <w:multiLevelType w:val="hybridMultilevel"/>
    <w:tmpl w:val="FA042346"/>
    <w:lvl w:ilvl="0" w:tplc="67D6F5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1EAC"/>
    <w:multiLevelType w:val="hybridMultilevel"/>
    <w:tmpl w:val="D2A4902E"/>
    <w:lvl w:ilvl="0" w:tplc="FF54C8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92E3B"/>
    <w:multiLevelType w:val="hybridMultilevel"/>
    <w:tmpl w:val="B0AC3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644B"/>
    <w:multiLevelType w:val="hybridMultilevel"/>
    <w:tmpl w:val="40A0CA7C"/>
    <w:lvl w:ilvl="0" w:tplc="9FB6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5541"/>
    <w:multiLevelType w:val="hybridMultilevel"/>
    <w:tmpl w:val="DFA43E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C605D3"/>
    <w:multiLevelType w:val="hybridMultilevel"/>
    <w:tmpl w:val="0C6CCA3A"/>
    <w:lvl w:ilvl="0" w:tplc="1DE2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68BE"/>
    <w:multiLevelType w:val="hybridMultilevel"/>
    <w:tmpl w:val="D3342B4E"/>
    <w:lvl w:ilvl="0" w:tplc="FE547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97CC2"/>
    <w:multiLevelType w:val="hybridMultilevel"/>
    <w:tmpl w:val="BF442AB6"/>
    <w:lvl w:ilvl="0" w:tplc="0B32E4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62EF"/>
    <w:multiLevelType w:val="hybridMultilevel"/>
    <w:tmpl w:val="F62EFD64"/>
    <w:lvl w:ilvl="0" w:tplc="484CFF2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6F612D"/>
    <w:multiLevelType w:val="hybridMultilevel"/>
    <w:tmpl w:val="C5AAA766"/>
    <w:lvl w:ilvl="0" w:tplc="97AAC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B5633"/>
    <w:multiLevelType w:val="hybridMultilevel"/>
    <w:tmpl w:val="5600A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06ACA"/>
    <w:rsid w:val="00027C24"/>
    <w:rsid w:val="00053BD9"/>
    <w:rsid w:val="00065E59"/>
    <w:rsid w:val="00084545"/>
    <w:rsid w:val="00087C8C"/>
    <w:rsid w:val="00092518"/>
    <w:rsid w:val="00092A93"/>
    <w:rsid w:val="000A274F"/>
    <w:rsid w:val="000C313D"/>
    <w:rsid w:val="000D4FFB"/>
    <w:rsid w:val="000F3340"/>
    <w:rsid w:val="000F6F3F"/>
    <w:rsid w:val="00100BFD"/>
    <w:rsid w:val="00117385"/>
    <w:rsid w:val="001207D6"/>
    <w:rsid w:val="00130C4F"/>
    <w:rsid w:val="001439CA"/>
    <w:rsid w:val="00145ADB"/>
    <w:rsid w:val="00161B8E"/>
    <w:rsid w:val="0016633F"/>
    <w:rsid w:val="00183F50"/>
    <w:rsid w:val="001A3D16"/>
    <w:rsid w:val="001B0B5E"/>
    <w:rsid w:val="001B18E5"/>
    <w:rsid w:val="001B2017"/>
    <w:rsid w:val="001C2C5E"/>
    <w:rsid w:val="001C56AE"/>
    <w:rsid w:val="00232281"/>
    <w:rsid w:val="002354F4"/>
    <w:rsid w:val="00236C45"/>
    <w:rsid w:val="00247127"/>
    <w:rsid w:val="0025404C"/>
    <w:rsid w:val="00261650"/>
    <w:rsid w:val="002749E4"/>
    <w:rsid w:val="0028224B"/>
    <w:rsid w:val="00286DCE"/>
    <w:rsid w:val="00287440"/>
    <w:rsid w:val="002C7402"/>
    <w:rsid w:val="002F33E8"/>
    <w:rsid w:val="00305EB7"/>
    <w:rsid w:val="003447BC"/>
    <w:rsid w:val="00371C94"/>
    <w:rsid w:val="00386A2E"/>
    <w:rsid w:val="00392D54"/>
    <w:rsid w:val="003C2525"/>
    <w:rsid w:val="003E0EA4"/>
    <w:rsid w:val="00402207"/>
    <w:rsid w:val="00407CFC"/>
    <w:rsid w:val="00420572"/>
    <w:rsid w:val="00430B4D"/>
    <w:rsid w:val="00476A67"/>
    <w:rsid w:val="00486F18"/>
    <w:rsid w:val="004932F0"/>
    <w:rsid w:val="004A73CF"/>
    <w:rsid w:val="004A7FEC"/>
    <w:rsid w:val="004B0C9E"/>
    <w:rsid w:val="004E0287"/>
    <w:rsid w:val="004F583C"/>
    <w:rsid w:val="0051625A"/>
    <w:rsid w:val="00530831"/>
    <w:rsid w:val="005379D1"/>
    <w:rsid w:val="00556605"/>
    <w:rsid w:val="0056260D"/>
    <w:rsid w:val="005708F1"/>
    <w:rsid w:val="005A2B8D"/>
    <w:rsid w:val="005A663A"/>
    <w:rsid w:val="005F51E4"/>
    <w:rsid w:val="00647FA6"/>
    <w:rsid w:val="006502B4"/>
    <w:rsid w:val="00654CB5"/>
    <w:rsid w:val="00657A5E"/>
    <w:rsid w:val="00665E9D"/>
    <w:rsid w:val="00671A84"/>
    <w:rsid w:val="006B3153"/>
    <w:rsid w:val="006B4166"/>
    <w:rsid w:val="006B495F"/>
    <w:rsid w:val="006D45EB"/>
    <w:rsid w:val="00730A93"/>
    <w:rsid w:val="00740FEA"/>
    <w:rsid w:val="007520ED"/>
    <w:rsid w:val="007A5BFE"/>
    <w:rsid w:val="007D2EBB"/>
    <w:rsid w:val="00845061"/>
    <w:rsid w:val="008676E0"/>
    <w:rsid w:val="00876016"/>
    <w:rsid w:val="0088222E"/>
    <w:rsid w:val="008A397A"/>
    <w:rsid w:val="008C0EC5"/>
    <w:rsid w:val="008C1781"/>
    <w:rsid w:val="008F4F46"/>
    <w:rsid w:val="00906ACA"/>
    <w:rsid w:val="00920872"/>
    <w:rsid w:val="00935D3F"/>
    <w:rsid w:val="0095629B"/>
    <w:rsid w:val="00963447"/>
    <w:rsid w:val="00977661"/>
    <w:rsid w:val="009B2774"/>
    <w:rsid w:val="009D1B8C"/>
    <w:rsid w:val="009E13C5"/>
    <w:rsid w:val="00A031FB"/>
    <w:rsid w:val="00A34C7E"/>
    <w:rsid w:val="00A52C22"/>
    <w:rsid w:val="00A67CF4"/>
    <w:rsid w:val="00A74041"/>
    <w:rsid w:val="00AC28BC"/>
    <w:rsid w:val="00AC3FFB"/>
    <w:rsid w:val="00AD7060"/>
    <w:rsid w:val="00AE61DF"/>
    <w:rsid w:val="00AE7DF7"/>
    <w:rsid w:val="00B0179E"/>
    <w:rsid w:val="00B25E51"/>
    <w:rsid w:val="00B47DB2"/>
    <w:rsid w:val="00B6132C"/>
    <w:rsid w:val="00B62191"/>
    <w:rsid w:val="00B76F07"/>
    <w:rsid w:val="00B77153"/>
    <w:rsid w:val="00B92030"/>
    <w:rsid w:val="00B96C18"/>
    <w:rsid w:val="00BA1DFC"/>
    <w:rsid w:val="00BB2A05"/>
    <w:rsid w:val="00C00036"/>
    <w:rsid w:val="00C30267"/>
    <w:rsid w:val="00C5794C"/>
    <w:rsid w:val="00C646BF"/>
    <w:rsid w:val="00C7043F"/>
    <w:rsid w:val="00C75A14"/>
    <w:rsid w:val="00C843B3"/>
    <w:rsid w:val="00CA42A4"/>
    <w:rsid w:val="00CC2D81"/>
    <w:rsid w:val="00CC709D"/>
    <w:rsid w:val="00CD1BA6"/>
    <w:rsid w:val="00CD4B4B"/>
    <w:rsid w:val="00CF001F"/>
    <w:rsid w:val="00D967B4"/>
    <w:rsid w:val="00DA471A"/>
    <w:rsid w:val="00DB4663"/>
    <w:rsid w:val="00DC6159"/>
    <w:rsid w:val="00DE05B7"/>
    <w:rsid w:val="00DE60AC"/>
    <w:rsid w:val="00E1077A"/>
    <w:rsid w:val="00E508FC"/>
    <w:rsid w:val="00E5237B"/>
    <w:rsid w:val="00E74970"/>
    <w:rsid w:val="00E82010"/>
    <w:rsid w:val="00EE1630"/>
    <w:rsid w:val="00EE24F7"/>
    <w:rsid w:val="00EE3429"/>
    <w:rsid w:val="00EF7B3C"/>
    <w:rsid w:val="00F265EA"/>
    <w:rsid w:val="00F47DEA"/>
    <w:rsid w:val="00F500CD"/>
    <w:rsid w:val="00F638BA"/>
    <w:rsid w:val="00F96F6B"/>
    <w:rsid w:val="00FA2171"/>
    <w:rsid w:val="00FA6916"/>
    <w:rsid w:val="00FB1524"/>
    <w:rsid w:val="00FB5771"/>
    <w:rsid w:val="00FC22D0"/>
    <w:rsid w:val="00FD669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5A66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66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663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66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9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6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D8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D8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D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D8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8F1"/>
  </w:style>
  <w:style w:type="paragraph" w:styleId="Zpat">
    <w:name w:val="footer"/>
    <w:basedOn w:val="Normln"/>
    <w:link w:val="ZpatChar"/>
    <w:uiPriority w:val="99"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8F1"/>
  </w:style>
  <w:style w:type="paragraph" w:styleId="Revize">
    <w:name w:val="Revision"/>
    <w:hidden/>
    <w:uiPriority w:val="99"/>
    <w:semiHidden/>
    <w:rsid w:val="00E5237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6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A12B-1788-4044-B772-41FFCDDF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4</cp:revision>
  <dcterms:created xsi:type="dcterms:W3CDTF">2017-09-07T10:42:00Z</dcterms:created>
  <dcterms:modified xsi:type="dcterms:W3CDTF">2017-09-07T14:37:00Z</dcterms:modified>
</cp:coreProperties>
</file>