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889" w:type="dxa"/>
        <w:tblLook w:val="04A0"/>
      </w:tblPr>
      <w:tblGrid>
        <w:gridCol w:w="2093"/>
        <w:gridCol w:w="7796"/>
      </w:tblGrid>
      <w:tr w:rsidR="005B1309" w:rsidRPr="0012401D" w:rsidTr="00932305">
        <w:tc>
          <w:tcPr>
            <w:tcW w:w="2093" w:type="dxa"/>
            <w:vAlign w:val="center"/>
          </w:tcPr>
          <w:p w:rsidR="005B1309" w:rsidRPr="0012401D" w:rsidRDefault="005B1309" w:rsidP="00223516">
            <w:pPr>
              <w:rPr>
                <w:rFonts w:cs="Arial"/>
                <w:b/>
              </w:rPr>
            </w:pPr>
            <w:r w:rsidRPr="0012401D">
              <w:rPr>
                <w:rFonts w:cs="Arial"/>
                <w:b/>
              </w:rPr>
              <w:t>Název materiálu:</w:t>
            </w:r>
          </w:p>
        </w:tc>
        <w:tc>
          <w:tcPr>
            <w:tcW w:w="7796" w:type="dxa"/>
            <w:vAlign w:val="center"/>
          </w:tcPr>
          <w:p w:rsidR="005B1309" w:rsidRPr="0012401D" w:rsidRDefault="00A73457" w:rsidP="00A73457">
            <w:pPr>
              <w:rPr>
                <w:rFonts w:cs="Arial"/>
              </w:rPr>
            </w:pPr>
            <w:r>
              <w:rPr>
                <w:rFonts w:cs="Arial"/>
                <w:b/>
              </w:rPr>
              <w:t xml:space="preserve">Návrh vyhlášky, </w:t>
            </w:r>
            <w:r w:rsidRPr="00A73457">
              <w:rPr>
                <w:rFonts w:cs="Arial"/>
                <w:b/>
              </w:rPr>
              <w:t>kterou se mění vyhláška č. 499/2006 Sb., o dokumentaci staveb, ve znění vyhlášky č. 62/2013 Sb.</w:t>
            </w:r>
            <w:r>
              <w:rPr>
                <w:rFonts w:cs="Arial"/>
                <w:b/>
              </w:rPr>
              <w:t>, a vyhláška č. 169/2016 Sb., o </w:t>
            </w:r>
            <w:r w:rsidRPr="00A73457">
              <w:rPr>
                <w:rFonts w:cs="Arial"/>
                <w:b/>
              </w:rPr>
              <w:t>stanovení rozsahu dokumentace veřejné zakázky na stavební práce a soupisu stavebních prací, dodávek a služeb s výkazem výměr</w:t>
            </w:r>
          </w:p>
        </w:tc>
      </w:tr>
      <w:tr w:rsidR="005B1309" w:rsidRPr="0012401D" w:rsidTr="00932305">
        <w:tc>
          <w:tcPr>
            <w:tcW w:w="2093" w:type="dxa"/>
            <w:vAlign w:val="center"/>
          </w:tcPr>
          <w:p w:rsidR="005B1309" w:rsidRPr="0012401D" w:rsidRDefault="005B1309" w:rsidP="00223516">
            <w:pPr>
              <w:rPr>
                <w:rFonts w:cs="Arial"/>
                <w:b/>
              </w:rPr>
            </w:pPr>
            <w:r w:rsidRPr="0012401D">
              <w:rPr>
                <w:rFonts w:cs="Arial"/>
                <w:b/>
              </w:rPr>
              <w:t>Jméno:</w:t>
            </w:r>
          </w:p>
        </w:tc>
        <w:tc>
          <w:tcPr>
            <w:tcW w:w="7796" w:type="dxa"/>
            <w:vAlign w:val="center"/>
          </w:tcPr>
          <w:p w:rsidR="004A15F9" w:rsidRPr="0012401D" w:rsidRDefault="00A86B2C" w:rsidP="00A73457">
            <w:pPr>
              <w:rPr>
                <w:rFonts w:cs="Arial"/>
                <w:b/>
              </w:rPr>
            </w:pPr>
            <w:r w:rsidRPr="0012401D">
              <w:rPr>
                <w:rFonts w:cs="Arial"/>
                <w:b/>
              </w:rPr>
              <w:t>Tomáš Pecánek</w:t>
            </w:r>
            <w:r w:rsidR="00A71D71">
              <w:rPr>
                <w:rFonts w:cs="Arial"/>
                <w:b/>
              </w:rPr>
              <w:t xml:space="preserve">, </w:t>
            </w:r>
            <w:r w:rsidR="00A73457">
              <w:rPr>
                <w:rFonts w:cs="Arial"/>
                <w:b/>
              </w:rPr>
              <w:t>František Fejgl</w:t>
            </w:r>
          </w:p>
        </w:tc>
      </w:tr>
      <w:tr w:rsidR="005B1309" w:rsidRPr="0012401D" w:rsidTr="00932305">
        <w:tc>
          <w:tcPr>
            <w:tcW w:w="2093" w:type="dxa"/>
            <w:vAlign w:val="center"/>
          </w:tcPr>
          <w:p w:rsidR="005B1309" w:rsidRPr="0012401D" w:rsidRDefault="005B1309" w:rsidP="00223516">
            <w:pPr>
              <w:rPr>
                <w:rFonts w:cs="Arial"/>
                <w:b/>
              </w:rPr>
            </w:pPr>
            <w:r w:rsidRPr="0012401D">
              <w:rPr>
                <w:rFonts w:cs="Arial"/>
                <w:b/>
              </w:rPr>
              <w:t>Telefon:</w:t>
            </w:r>
          </w:p>
        </w:tc>
        <w:tc>
          <w:tcPr>
            <w:tcW w:w="7796" w:type="dxa"/>
            <w:vAlign w:val="center"/>
          </w:tcPr>
          <w:p w:rsidR="004A15F9" w:rsidRPr="0012401D" w:rsidRDefault="00D1207D" w:rsidP="00A73457">
            <w:pPr>
              <w:rPr>
                <w:rFonts w:cs="Arial"/>
                <w:b/>
              </w:rPr>
            </w:pPr>
            <w:r w:rsidRPr="0012401D">
              <w:rPr>
                <w:rFonts w:cs="Arial"/>
                <w:b/>
              </w:rPr>
              <w:t>+420 602 560</w:t>
            </w:r>
            <w:r w:rsidR="00A71D71">
              <w:rPr>
                <w:rFonts w:cs="Arial"/>
                <w:b/>
              </w:rPr>
              <w:t> </w:t>
            </w:r>
            <w:r w:rsidRPr="0012401D">
              <w:rPr>
                <w:rFonts w:cs="Arial"/>
                <w:b/>
              </w:rPr>
              <w:t>771</w:t>
            </w:r>
            <w:r w:rsidR="00A71D71">
              <w:rPr>
                <w:rFonts w:cs="Arial"/>
                <w:b/>
              </w:rPr>
              <w:t>, +420</w:t>
            </w:r>
            <w:r w:rsidR="00590286">
              <w:rPr>
                <w:rFonts w:cs="Arial"/>
                <w:b/>
              </w:rPr>
              <w:t> </w:t>
            </w:r>
            <w:r w:rsidR="00A71D71">
              <w:rPr>
                <w:rFonts w:cs="Arial"/>
                <w:b/>
              </w:rPr>
              <w:t>60</w:t>
            </w:r>
            <w:r w:rsidR="00A73457">
              <w:rPr>
                <w:rFonts w:cs="Arial"/>
                <w:b/>
              </w:rPr>
              <w:t>2</w:t>
            </w:r>
            <w:r w:rsidR="00590286">
              <w:rPr>
                <w:rFonts w:cs="Arial"/>
                <w:b/>
              </w:rPr>
              <w:t> </w:t>
            </w:r>
            <w:r w:rsidR="00A73457">
              <w:rPr>
                <w:rFonts w:cs="Arial"/>
                <w:b/>
              </w:rPr>
              <w:t>108</w:t>
            </w:r>
            <w:r w:rsidR="00590286">
              <w:rPr>
                <w:rFonts w:cs="Arial"/>
                <w:b/>
              </w:rPr>
              <w:t> </w:t>
            </w:r>
            <w:r w:rsidR="00A73457">
              <w:rPr>
                <w:rFonts w:cs="Arial"/>
                <w:b/>
              </w:rPr>
              <w:t>487</w:t>
            </w:r>
          </w:p>
        </w:tc>
      </w:tr>
      <w:tr w:rsidR="005B1309" w:rsidRPr="0012401D" w:rsidTr="00932305">
        <w:tc>
          <w:tcPr>
            <w:tcW w:w="2093" w:type="dxa"/>
            <w:vAlign w:val="center"/>
          </w:tcPr>
          <w:p w:rsidR="005B1309" w:rsidRPr="0012401D" w:rsidRDefault="005B1309" w:rsidP="00223516">
            <w:pPr>
              <w:rPr>
                <w:rFonts w:cs="Arial"/>
                <w:b/>
              </w:rPr>
            </w:pPr>
            <w:r w:rsidRPr="0012401D">
              <w:rPr>
                <w:rFonts w:cs="Arial"/>
                <w:b/>
              </w:rPr>
              <w:t>e-mail:</w:t>
            </w:r>
          </w:p>
        </w:tc>
        <w:tc>
          <w:tcPr>
            <w:tcW w:w="7796" w:type="dxa"/>
            <w:vAlign w:val="center"/>
          </w:tcPr>
          <w:p w:rsidR="00A73457" w:rsidRPr="00A71D71" w:rsidRDefault="00BD6CF9" w:rsidP="00A73457">
            <w:pPr>
              <w:rPr>
                <w:rFonts w:cs="Arial"/>
              </w:rPr>
            </w:pPr>
            <w:hyperlink r:id="rId8" w:history="1">
              <w:proofErr w:type="spellStart"/>
              <w:r w:rsidR="00A86B2C" w:rsidRPr="00A71D71">
                <w:rPr>
                  <w:rStyle w:val="Hypertextovodkaz"/>
                  <w:rFonts w:cs="Arial"/>
                </w:rPr>
                <w:t>tomas.pecanek</w:t>
              </w:r>
              <w:proofErr w:type="spellEnd"/>
              <w:r w:rsidR="00A86B2C" w:rsidRPr="00A71D71">
                <w:rPr>
                  <w:rStyle w:val="Hypertextovodkaz"/>
                  <w:rFonts w:cs="Arial"/>
                </w:rPr>
                <w:t>@</w:t>
              </w:r>
              <w:proofErr w:type="spellStart"/>
              <w:r w:rsidR="00A86B2C" w:rsidRPr="00A71D71">
                <w:rPr>
                  <w:rStyle w:val="Hypertextovodkaz"/>
                  <w:rFonts w:cs="Arial"/>
                </w:rPr>
                <w:t>cgoa.cz</w:t>
              </w:r>
              <w:proofErr w:type="spellEnd"/>
            </w:hyperlink>
            <w:r w:rsidR="00A71D71" w:rsidRPr="00A71D71">
              <w:t xml:space="preserve"> , </w:t>
            </w:r>
            <w:hyperlink r:id="rId9" w:history="1">
              <w:proofErr w:type="spellStart"/>
              <w:r w:rsidR="00A73457" w:rsidRPr="00B8795F">
                <w:rPr>
                  <w:rStyle w:val="Hypertextovodkaz"/>
                </w:rPr>
                <w:t>frantisek.fejgl</w:t>
              </w:r>
              <w:proofErr w:type="spellEnd"/>
              <w:r w:rsidR="00A73457" w:rsidRPr="00B8795F">
                <w:rPr>
                  <w:rStyle w:val="Hypertextovodkaz"/>
                </w:rPr>
                <w:t>@</w:t>
              </w:r>
              <w:proofErr w:type="spellStart"/>
              <w:r w:rsidR="00A73457" w:rsidRPr="00B8795F">
                <w:rPr>
                  <w:rStyle w:val="Hypertextovodkaz"/>
                </w:rPr>
                <w:t>innogy.com</w:t>
              </w:r>
              <w:proofErr w:type="spellEnd"/>
            </w:hyperlink>
            <w:r w:rsidR="00A73457">
              <w:t xml:space="preserve"> </w:t>
            </w:r>
          </w:p>
        </w:tc>
      </w:tr>
    </w:tbl>
    <w:p w:rsidR="005B1309" w:rsidRPr="0012401D" w:rsidRDefault="005B1309" w:rsidP="00223516">
      <w:pPr>
        <w:spacing w:after="0" w:line="240" w:lineRule="auto"/>
        <w:rPr>
          <w:rFonts w:cs="Arial"/>
        </w:rPr>
      </w:pPr>
    </w:p>
    <w:p w:rsidR="00E02E9C" w:rsidRPr="0012401D" w:rsidRDefault="00E02E9C" w:rsidP="00223516">
      <w:pPr>
        <w:tabs>
          <w:tab w:val="left" w:pos="567"/>
        </w:tabs>
        <w:spacing w:after="0" w:line="240" w:lineRule="auto"/>
        <w:jc w:val="both"/>
        <w:rPr>
          <w:rFonts w:cs="Arial"/>
        </w:rPr>
      </w:pPr>
    </w:p>
    <w:p w:rsidR="00223516" w:rsidRDefault="00223516" w:rsidP="00223516">
      <w:pPr>
        <w:tabs>
          <w:tab w:val="left" w:pos="567"/>
        </w:tabs>
        <w:spacing w:after="0" w:line="240" w:lineRule="auto"/>
        <w:jc w:val="both"/>
        <w:rPr>
          <w:rFonts w:cs="Arial"/>
        </w:rPr>
      </w:pPr>
    </w:p>
    <w:p w:rsidR="00A71D71" w:rsidRPr="00A71D71" w:rsidRDefault="00A71D71" w:rsidP="00223516">
      <w:pPr>
        <w:tabs>
          <w:tab w:val="left" w:pos="567"/>
        </w:tabs>
        <w:spacing w:after="0" w:line="240" w:lineRule="auto"/>
        <w:jc w:val="both"/>
        <w:rPr>
          <w:rFonts w:cs="Arial"/>
          <w:b/>
        </w:rPr>
      </w:pPr>
      <w:r w:rsidRPr="00A71D71">
        <w:rPr>
          <w:rFonts w:cs="Arial"/>
          <w:b/>
        </w:rPr>
        <w:t>B.</w:t>
      </w:r>
      <w:r w:rsidRPr="00A71D71">
        <w:rPr>
          <w:rFonts w:cs="Arial"/>
          <w:b/>
        </w:rPr>
        <w:tab/>
        <w:t>OBECN</w:t>
      </w:r>
      <w:r w:rsidR="00A73457">
        <w:rPr>
          <w:rFonts w:cs="Arial"/>
          <w:b/>
        </w:rPr>
        <w:t>É</w:t>
      </w:r>
      <w:r w:rsidRPr="00A71D71">
        <w:rPr>
          <w:rFonts w:cs="Arial"/>
          <w:b/>
        </w:rPr>
        <w:t xml:space="preserve"> PŘIPOMÍNK</w:t>
      </w:r>
      <w:r w:rsidR="00A73457">
        <w:rPr>
          <w:rFonts w:cs="Arial"/>
          <w:b/>
        </w:rPr>
        <w:t>Y</w:t>
      </w:r>
    </w:p>
    <w:p w:rsidR="00A71D71" w:rsidRPr="0012401D" w:rsidRDefault="00A71D71" w:rsidP="00A71D71">
      <w:pPr>
        <w:tabs>
          <w:tab w:val="left" w:pos="567"/>
        </w:tabs>
        <w:spacing w:after="0" w:line="240" w:lineRule="auto"/>
        <w:jc w:val="both"/>
        <w:rPr>
          <w:rFonts w:cs="Arial"/>
        </w:rPr>
      </w:pPr>
    </w:p>
    <w:p w:rsidR="00A73457" w:rsidRDefault="00A73457" w:rsidP="00A71D7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1. </w:t>
      </w:r>
      <w:r w:rsidRPr="00A73457">
        <w:t>Je nezbytné v náležitostech jednotlivých kapitol u dokumentací specifických pro různé typy staveb sjednotit jejich rozsah a obsah, a to zejména v těch částech, které významově pokrývají shodný procesní institut, např. umístění stavby. Např. u liniové stavb</w:t>
      </w:r>
      <w:r>
        <w:t>y</w:t>
      </w:r>
      <w:r w:rsidRPr="00A73457">
        <w:t xml:space="preserve"> technické infrastruktury v příloze č. 2 v </w:t>
      </w:r>
      <w:proofErr w:type="gramStart"/>
      <w:r w:rsidRPr="00A73457">
        <w:t>kapitole B.3 je</w:t>
      </w:r>
      <w:proofErr w:type="gramEnd"/>
      <w:r w:rsidRPr="00A73457">
        <w:t xml:space="preserve"> požadována informace „způsob likvidace dešťových vod“ (která je ve vztahu k povaze záměrů pokrytých touto přílohou poněkud irelevantní), přičemž v příloze č. 9 není v kapitole B.3 tato informace požadována. Obdobně odlišná formulace v </w:t>
      </w:r>
      <w:proofErr w:type="gramStart"/>
      <w:r w:rsidRPr="00A73457">
        <w:t>kapitole B.1 písm.</w:t>
      </w:r>
      <w:proofErr w:type="gramEnd"/>
      <w:r w:rsidRPr="00A73457">
        <w:t xml:space="preserve"> k) přílohy č. 2 a kapitole B.1 písm. j) přílohy č. 9. Vzhledem k tomu, že se jedná v obou případech o stejný typ staveb a zároveň jde o</w:t>
      </w:r>
      <w:r>
        <w:t> </w:t>
      </w:r>
      <w:r w:rsidRPr="00A73457">
        <w:t>informaci vztahující se k umisťování staveb, je žádoucí a logické, aby byly identické. Podobně některé další příklady uvedené níže v konkrétních připomínkách.</w:t>
      </w:r>
    </w:p>
    <w:p w:rsidR="00A73457" w:rsidRDefault="00A73457" w:rsidP="00A71D71">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A73457" w:rsidRDefault="00A73457" w:rsidP="00A71D7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2. </w:t>
      </w:r>
      <w:r w:rsidRPr="00A73457">
        <w:t>U příloh k dopravním stavbám je nezbytné přehodnotit podrobnost náležitostí dokumentací. Je třeba si uvědomit, že na základě těchto příloh (př. č. 3, 4, 10 a 11) mohou být umisťovány nebo umisťovány a</w:t>
      </w:r>
      <w:r>
        <w:t> </w:t>
      </w:r>
      <w:r w:rsidRPr="00A73457">
        <w:t xml:space="preserve">povolovány i záměry vleček do průmyslových areálů, účelové komunikace v areálech apod., nejedná se tedy pouze o stavby financované z veřejných rozpočtů, na které pravděpodobně návrhy těchto příloh cílí. V případech př. č. 3 a 4 jsou například informace požadované v části D. ve výrazně podrobnější struktuře, než která je navrhována pro „obecnou“ dokumentaci pro vydání rozhodnutí o umístění stavby v př. č. 1. Náležitosti navrhované přílohy č. 1 dokumentace pro vydání rozhodnutí o umístění stavby jsou v této části D. identické s požadavky, které jsou kladeny již stávající vyhláškou, resp. stávající přílohou č. 1, přičemž na jejím základě dochází již dnes k umisťování železničních i silničních staveb. Takto zásadní rozšíření náležitostí </w:t>
      </w:r>
      <w:r>
        <w:t xml:space="preserve">vnímáme </w:t>
      </w:r>
      <w:r w:rsidRPr="00A73457">
        <w:t>jako problematické.</w:t>
      </w:r>
    </w:p>
    <w:p w:rsidR="00A73457" w:rsidRDefault="00A73457" w:rsidP="00A71D71">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A73457" w:rsidRDefault="00A73457" w:rsidP="00A71D7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73457">
        <w:t xml:space="preserve">Příkladem jsou u přílohy č. 3 požadavky v </w:t>
      </w:r>
      <w:proofErr w:type="gramStart"/>
      <w:r w:rsidRPr="00A73457">
        <w:t xml:space="preserve">kapitole </w:t>
      </w:r>
      <w:proofErr w:type="spellStart"/>
      <w:r w:rsidRPr="00A73457">
        <w:t>D.2</w:t>
      </w:r>
      <w:proofErr w:type="spellEnd"/>
      <w:r w:rsidRPr="00A73457">
        <w:t>, kde</w:t>
      </w:r>
      <w:proofErr w:type="gramEnd"/>
      <w:r w:rsidRPr="00A73457">
        <w:t xml:space="preserve"> jsou vyžadovány informace, které hraničí s</w:t>
      </w:r>
      <w:r w:rsidR="005247FC">
        <w:t> </w:t>
      </w:r>
      <w:r w:rsidRPr="00A73457">
        <w:t xml:space="preserve">úrovní požadavků pro projektovou dokumentaci (např. „…s údaji o…postupu výstavby, zásadách stavebně montážních postupů, s montážními a provozními </w:t>
      </w:r>
      <w:proofErr w:type="spellStart"/>
      <w:r w:rsidRPr="00A73457">
        <w:t>mezistavy</w:t>
      </w:r>
      <w:proofErr w:type="spellEnd"/>
      <w:r w:rsidRPr="00A73457">
        <w:t>…“ nebo „Součástí jsou potřebné…statické nebo jiné výpočty“) nebo informace, které nemají žádnou relevanci k veřejným zájmům, které by měl stavební úřad hájit (např. „Uvede se též stávající a nový vlastník, správce a</w:t>
      </w:r>
      <w:r w:rsidR="005247FC">
        <w:t> </w:t>
      </w:r>
      <w:r w:rsidRPr="00A73457">
        <w:t xml:space="preserve">uživatel objektu;…“). Obdobně jsou např. v př. č. 10 vyžadovány informace, které jdou svojí povahou nad rámec veřejnoprávního předpisu (např. v </w:t>
      </w:r>
      <w:proofErr w:type="gramStart"/>
      <w:r w:rsidRPr="00A73457">
        <w:t xml:space="preserve">kapitole </w:t>
      </w:r>
      <w:proofErr w:type="spellStart"/>
      <w:r w:rsidRPr="00A73457">
        <w:t>D.2</w:t>
      </w:r>
      <w:proofErr w:type="spellEnd"/>
      <w:r w:rsidRPr="00A73457">
        <w:t xml:space="preserve"> „shrnutí</w:t>
      </w:r>
      <w:proofErr w:type="gramEnd"/>
      <w:r w:rsidRPr="00A73457">
        <w:t xml:space="preserve"> rozhodujících závěrů z pracovních porad včetně uvedení odkazu na dokladovou část“) nebo používají pojmy do tohoto předpisu nevhodné (např. „zadavatel“).</w:t>
      </w:r>
    </w:p>
    <w:p w:rsidR="00A73457" w:rsidRDefault="00A73457" w:rsidP="00A71D71">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A73457" w:rsidRDefault="00A73457" w:rsidP="00A71D7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3. </w:t>
      </w:r>
      <w:r w:rsidR="005247FC" w:rsidRPr="005247FC">
        <w:t>Ve vyhlášce není žádným způsobem řešen vzájemný vztah různých nově navrhovaných druhů dokumentací v případě povolování souboru staveb, který je složen z několika typů staveb. Pokud je např. umisťována stavba jediného typu, pak je zřejmé, že bude požadována dokumentace jednoho druhu (přesněji řečeno dokumentace jednoho rozsahu a obsahu) – tj. např. dokumentace s rozsahem a</w:t>
      </w:r>
      <w:r w:rsidR="005247FC">
        <w:t> </w:t>
      </w:r>
      <w:r w:rsidR="005247FC" w:rsidRPr="005247FC">
        <w:t>obsahem stanoveném v příloze č. 2. Pokud je však třeba společně s určitým typem stavby umístit (v</w:t>
      </w:r>
      <w:r w:rsidR="005247FC">
        <w:t> </w:t>
      </w:r>
      <w:r w:rsidR="005247FC" w:rsidRPr="005247FC">
        <w:t>jednom řízení) i stavbu jiného typu, vyhláška nestanoví, zda se pro takovou stavbu má zpracovávat dokumentace jiného druhu (přesněji řečeno dokumentace o jiném rozsahu a obsahu).</w:t>
      </w:r>
    </w:p>
    <w:p w:rsidR="00A73457" w:rsidRDefault="00A73457" w:rsidP="00A71D71">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A73457" w:rsidRDefault="005247FC" w:rsidP="00A71D7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5247FC">
        <w:t>Pokud jde o umístění liniové stavby, která se skládá ze souboru staveb, kdy jednou ze staveb je i</w:t>
      </w:r>
      <w:r>
        <w:t> </w:t>
      </w:r>
      <w:r w:rsidRPr="005247FC">
        <w:t xml:space="preserve">železniční vlečka a účelová (možná i místní) pozemní komunikace, je stavebník povinen zpracovat dokumentaci podle přílohy č. 2 a současně i dokumentaci podle přílohy č. 3 a dokumentaci podle </w:t>
      </w:r>
      <w:r w:rsidRPr="005247FC">
        <w:lastRenderedPageBreak/>
        <w:t>přílohy č. 4? Pokud ano, má jít o samostatné dokumentace s plným rozsahem a obsahem či má být fyzicky zpracována dokumentace jediná, avšak s doplněním (kompilací) všech informací, kterými se jednotlivé dokumentace od sebe liší?</w:t>
      </w:r>
    </w:p>
    <w:p w:rsidR="00A71D71" w:rsidRPr="0012401D" w:rsidRDefault="00A71D71" w:rsidP="00A71D71">
      <w:pPr>
        <w:spacing w:after="0" w:line="240" w:lineRule="auto"/>
        <w:jc w:val="both"/>
        <w:rPr>
          <w:rFonts w:cs="Arial"/>
        </w:rPr>
      </w:pPr>
    </w:p>
    <w:p w:rsidR="00A71D71" w:rsidRDefault="00A71D71" w:rsidP="00223516">
      <w:pPr>
        <w:tabs>
          <w:tab w:val="left" w:pos="567"/>
        </w:tabs>
        <w:spacing w:after="0" w:line="240" w:lineRule="auto"/>
        <w:jc w:val="both"/>
        <w:rPr>
          <w:rFonts w:cs="Arial"/>
        </w:rPr>
      </w:pPr>
    </w:p>
    <w:p w:rsidR="00A71D71" w:rsidRDefault="00A71D71" w:rsidP="00223516">
      <w:pPr>
        <w:tabs>
          <w:tab w:val="left" w:pos="567"/>
        </w:tabs>
        <w:spacing w:after="0" w:line="240" w:lineRule="auto"/>
        <w:jc w:val="both"/>
        <w:rPr>
          <w:rFonts w:cs="Arial"/>
        </w:rPr>
      </w:pPr>
    </w:p>
    <w:p w:rsidR="00223516" w:rsidRPr="0012401D" w:rsidRDefault="004D301D" w:rsidP="00223516">
      <w:pPr>
        <w:tabs>
          <w:tab w:val="left" w:pos="567"/>
        </w:tabs>
        <w:spacing w:after="0" w:line="240" w:lineRule="auto"/>
        <w:jc w:val="both"/>
        <w:rPr>
          <w:rFonts w:cs="Arial"/>
          <w:b/>
        </w:rPr>
      </w:pPr>
      <w:r w:rsidRPr="0012401D">
        <w:rPr>
          <w:rFonts w:cs="Arial"/>
          <w:b/>
        </w:rPr>
        <w:t>C</w:t>
      </w:r>
      <w:r w:rsidR="00223516" w:rsidRPr="0012401D">
        <w:rPr>
          <w:rFonts w:cs="Arial"/>
          <w:b/>
        </w:rPr>
        <w:t>.</w:t>
      </w:r>
      <w:r w:rsidR="00223516" w:rsidRPr="0012401D">
        <w:rPr>
          <w:rFonts w:cs="Arial"/>
          <w:b/>
        </w:rPr>
        <w:tab/>
      </w:r>
      <w:r w:rsidRPr="0012401D">
        <w:rPr>
          <w:rFonts w:cs="Arial"/>
          <w:b/>
        </w:rPr>
        <w:t>ZÁSADNÍ KONKRÉTNÍ PŘIPOMÍNK</w:t>
      </w:r>
      <w:r w:rsidR="00A71D71">
        <w:rPr>
          <w:rFonts w:cs="Arial"/>
          <w:b/>
        </w:rPr>
        <w:t>Y</w:t>
      </w:r>
    </w:p>
    <w:p w:rsidR="004D301D" w:rsidRPr="0012401D" w:rsidRDefault="004D301D" w:rsidP="004D301D">
      <w:pPr>
        <w:tabs>
          <w:tab w:val="left" w:pos="567"/>
        </w:tabs>
        <w:spacing w:after="0" w:line="240" w:lineRule="auto"/>
        <w:jc w:val="both"/>
        <w:rPr>
          <w:rFonts w:cs="Arial"/>
        </w:rPr>
      </w:pPr>
    </w:p>
    <w:p w:rsidR="005247FC" w:rsidRPr="005247FC" w:rsidRDefault="005247FC" w:rsidP="004D301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5247FC">
        <w:rPr>
          <w:b/>
        </w:rPr>
        <w:t>1. Připomínka k § 1 odst. 5.</w:t>
      </w:r>
    </w:p>
    <w:p w:rsidR="005247FC" w:rsidRDefault="005247FC" w:rsidP="004D301D">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5247FC" w:rsidRDefault="005247FC" w:rsidP="004D301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5247FC">
        <w:t>K návrhu nového § 1 odst. 5 se mimo jiné uvádí „Dokumentace nebo projektová dokumentace musí vždy obsahovat části A až E s tím, že další členění na kapitoly podle příloh č. 1 až 15 k této vyhlášce se použije přiměřeně.“ a dále pak „Předepsané označení kapitol a příloh se musí dodržovat.“</w:t>
      </w:r>
    </w:p>
    <w:p w:rsidR="005247FC" w:rsidRDefault="005247FC" w:rsidP="004D301D">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5247FC" w:rsidRDefault="005247FC" w:rsidP="004D301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5247FC">
        <w:t>Požadujeme vysvětlit, případně upravit či doplnit do důvodové zprávy, vzájemný význam těchto ustanovení. Je tedy třeba vždy dodržovat označení kapitol, jak je uvedeno v druhé výše uvedené větě, není však třeba všechny kapitoly uvádět? Pokud bude jedna kapitol vynechána, protože její využití není důvodné, pak kapitola následující má být označena podle pořadí nebo si zachovat vyhláškou stanovené označení, byť nebude číslování kapitol na sebe navazovat?</w:t>
      </w:r>
    </w:p>
    <w:p w:rsidR="007A23E8" w:rsidRPr="0012401D" w:rsidRDefault="007A23E8" w:rsidP="007A23E8">
      <w:pPr>
        <w:tabs>
          <w:tab w:val="left" w:pos="567"/>
        </w:tabs>
        <w:spacing w:after="0" w:line="240" w:lineRule="auto"/>
        <w:jc w:val="both"/>
        <w:rPr>
          <w:rFonts w:cs="Arial"/>
        </w:rPr>
      </w:pPr>
    </w:p>
    <w:p w:rsidR="005247FC" w:rsidRDefault="005247FC" w:rsidP="007A23E8">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5247FC">
        <w:rPr>
          <w:b/>
        </w:rPr>
        <w:t>2</w:t>
      </w:r>
      <w:r>
        <w:rPr>
          <w:b/>
        </w:rPr>
        <w:t xml:space="preserve">. </w:t>
      </w:r>
      <w:r w:rsidRPr="005247FC">
        <w:rPr>
          <w:b/>
        </w:rPr>
        <w:t xml:space="preserve">Připomínka k § </w:t>
      </w:r>
      <w:proofErr w:type="spellStart"/>
      <w:r w:rsidRPr="005247FC">
        <w:rPr>
          <w:b/>
        </w:rPr>
        <w:t>1a</w:t>
      </w:r>
      <w:proofErr w:type="spellEnd"/>
      <w:r w:rsidRPr="005247FC">
        <w:rPr>
          <w:b/>
        </w:rPr>
        <w:t xml:space="preserve"> odst. 2</w:t>
      </w:r>
      <w:r>
        <w:rPr>
          <w:b/>
        </w:rPr>
        <w:t>.</w:t>
      </w:r>
    </w:p>
    <w:p w:rsidR="005247FC" w:rsidRDefault="005247FC" w:rsidP="007A23E8">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442C59">
        <w:t>(2) Rozsah a obsah dokumentace pro vydání rozhodnutí o umístění liniové stavby</w:t>
      </w:r>
      <w:r>
        <w:t xml:space="preserve"> </w:t>
      </w:r>
      <w:r w:rsidRPr="00442C59">
        <w:t>technické infrastruktury včetně souvisejících technologických objektů je stanoven v příloze č. 2 k této vyhlášce. Souvisejícími technologickými objekty se rozumějí stavba</w:t>
      </w:r>
      <w:r w:rsidRPr="00442C59">
        <w:rPr>
          <w:b/>
        </w:rPr>
        <w:t xml:space="preserve"> </w:t>
      </w:r>
      <w:r w:rsidRPr="005613E2">
        <w:rPr>
          <w:b/>
        </w:rPr>
        <w:t>elektrické stanice,</w:t>
      </w:r>
      <w:r>
        <w:t xml:space="preserve"> </w:t>
      </w:r>
      <w:r w:rsidRPr="00442C59">
        <w:t>trafostanice, regulační stanice, stanice katodické ochrany, předávací stanice,</w:t>
      </w:r>
      <w:r w:rsidRPr="00442C59">
        <w:rPr>
          <w:b/>
        </w:rPr>
        <w:t xml:space="preserve"> kompresní stanice,</w:t>
      </w:r>
      <w:r w:rsidRPr="00442C59">
        <w:t xml:space="preserve"> </w:t>
      </w:r>
      <w:r w:rsidRPr="00442C59">
        <w:rPr>
          <w:b/>
        </w:rPr>
        <w:t>trasové uzávěry</w:t>
      </w:r>
      <w:r w:rsidRPr="00442C59">
        <w:t xml:space="preserve"> apod.</w:t>
      </w:r>
    </w:p>
    <w:p w:rsidR="005247FC" w:rsidRDefault="005247FC" w:rsidP="007A23E8">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5247FC" w:rsidRPr="007A23E8" w:rsidRDefault="005247FC" w:rsidP="005247F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5247FC" w:rsidRDefault="005247FC" w:rsidP="007A23E8">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Požadujeme</w:t>
      </w:r>
      <w:r w:rsidRPr="00442C59">
        <w:t xml:space="preserve"> doplnit do výčtu souvisejících technologic</w:t>
      </w:r>
      <w:r>
        <w:t xml:space="preserve">kých objektů elektrické stanice, kompresní stanice a </w:t>
      </w:r>
      <w:r w:rsidRPr="00442C59">
        <w:t>trasové uzávěry, které jsou typickými souvisejícími objekty</w:t>
      </w:r>
      <w:r>
        <w:t>,</w:t>
      </w:r>
      <w:r w:rsidRPr="00442C59">
        <w:t xml:space="preserve"> obdobně jako jsou trafostanice a</w:t>
      </w:r>
      <w:r>
        <w:t> </w:t>
      </w:r>
      <w:r w:rsidRPr="00442C59">
        <w:t>regulační stanice.</w:t>
      </w:r>
    </w:p>
    <w:p w:rsidR="00914F06" w:rsidRPr="0012401D" w:rsidRDefault="00914F06" w:rsidP="00914F06">
      <w:pPr>
        <w:tabs>
          <w:tab w:val="left" w:pos="567"/>
        </w:tabs>
        <w:spacing w:after="0" w:line="240" w:lineRule="auto"/>
        <w:jc w:val="both"/>
        <w:rPr>
          <w:rFonts w:cs="Arial"/>
        </w:rPr>
      </w:pPr>
    </w:p>
    <w:p w:rsidR="005247FC" w:rsidRDefault="005247FC" w:rsidP="00914F06">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3. </w:t>
      </w:r>
      <w:r w:rsidRPr="005247FC">
        <w:rPr>
          <w:b/>
        </w:rPr>
        <w:t xml:space="preserve">Připomínka k § </w:t>
      </w:r>
      <w:proofErr w:type="spellStart"/>
      <w:r w:rsidRPr="005247FC">
        <w:rPr>
          <w:b/>
        </w:rPr>
        <w:t>1a</w:t>
      </w:r>
      <w:proofErr w:type="spellEnd"/>
      <w:r w:rsidRPr="005247FC">
        <w:rPr>
          <w:b/>
        </w:rPr>
        <w:t xml:space="preserve"> odst. 2</w:t>
      </w:r>
    </w:p>
    <w:p w:rsidR="005247FC" w:rsidRDefault="005247FC" w:rsidP="00914F06">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5247FC">
        <w:t>Požadujeme v důvodové zprávě upřesnit a ujistit stavebníka v tom, že navrhované ustanovení předpokládá možnost umístit jednou dokumentací podle přílohy č. 2 i související objekty, tj. stavby a</w:t>
      </w:r>
      <w:r>
        <w:t> </w:t>
      </w:r>
      <w:r w:rsidRPr="005247FC">
        <w:t xml:space="preserve">zařízení nad 25 </w:t>
      </w:r>
      <w:proofErr w:type="spellStart"/>
      <w:r w:rsidRPr="005247FC">
        <w:t>m</w:t>
      </w:r>
      <w:r w:rsidRPr="005247FC">
        <w:rPr>
          <w:vertAlign w:val="superscript"/>
        </w:rPr>
        <w:t>2</w:t>
      </w:r>
      <w:proofErr w:type="spellEnd"/>
      <w:r w:rsidRPr="005247FC">
        <w:t xml:space="preserve"> zastavěné plochy - tedy, že pro tyto stavby a zařízení nebude nutné zpracovávat dokumentace dvě (§ </w:t>
      </w:r>
      <w:proofErr w:type="spellStart"/>
      <w:r w:rsidRPr="005247FC">
        <w:t>1a</w:t>
      </w:r>
      <w:proofErr w:type="spellEnd"/>
      <w:r w:rsidRPr="005247FC">
        <w:t xml:space="preserve"> odst. 1 a § </w:t>
      </w:r>
      <w:proofErr w:type="spellStart"/>
      <w:r w:rsidRPr="005247FC">
        <w:t>1a</w:t>
      </w:r>
      <w:proofErr w:type="spellEnd"/>
      <w:r w:rsidRPr="005247FC">
        <w:t xml:space="preserve"> odst. 2), nýbrž všechny tyto stavby a zařízení budou uvedeny v</w:t>
      </w:r>
      <w:r>
        <w:t> </w:t>
      </w:r>
      <w:r w:rsidRPr="005247FC">
        <w:t xml:space="preserve">dokumentaci jediné (§ </w:t>
      </w:r>
      <w:proofErr w:type="spellStart"/>
      <w:r w:rsidRPr="005247FC">
        <w:t>1a</w:t>
      </w:r>
      <w:proofErr w:type="spellEnd"/>
      <w:r w:rsidRPr="005247FC">
        <w:t xml:space="preserve"> odst. 2). Tato připomínka souvisí s obecnou připomínkou č. 3 (viz výše). Pokud je souvisejícím technologickém objektem např. železniční vlečka či účelová komunikace, postačí, pokud stavebník zpracuje pouze dokumentaci o rozsahu a obsahu podle přílohy č. 2?</w:t>
      </w:r>
    </w:p>
    <w:p w:rsidR="00914F06" w:rsidRPr="0012401D" w:rsidRDefault="00914F06" w:rsidP="00914F06">
      <w:pPr>
        <w:spacing w:after="0" w:line="240" w:lineRule="auto"/>
        <w:jc w:val="both"/>
        <w:rPr>
          <w:rFonts w:cs="Arial"/>
        </w:rPr>
      </w:pPr>
    </w:p>
    <w:p w:rsidR="005247FC" w:rsidRDefault="005247FC" w:rsidP="00B0614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4. </w:t>
      </w:r>
      <w:r w:rsidRPr="005247FC">
        <w:rPr>
          <w:b/>
        </w:rPr>
        <w:t xml:space="preserve">Připomínka ke kapitolám </w:t>
      </w:r>
      <w:proofErr w:type="gramStart"/>
      <w:r w:rsidRPr="005247FC">
        <w:rPr>
          <w:b/>
        </w:rPr>
        <w:t>A.4 přílohy</w:t>
      </w:r>
      <w:proofErr w:type="gramEnd"/>
      <w:r w:rsidRPr="005247FC">
        <w:rPr>
          <w:b/>
        </w:rPr>
        <w:t xml:space="preserve"> č. 1 a č.</w:t>
      </w:r>
      <w:r>
        <w:rPr>
          <w:b/>
        </w:rPr>
        <w:t xml:space="preserve"> </w:t>
      </w:r>
      <w:r w:rsidRPr="005247FC">
        <w:rPr>
          <w:b/>
        </w:rPr>
        <w:t>2</w:t>
      </w:r>
    </w:p>
    <w:p w:rsidR="00E85070" w:rsidRDefault="00E85070" w:rsidP="00B0614E">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E85070">
        <w:t>Do názvu bodu</w:t>
      </w:r>
      <w:r>
        <w:t>,</w:t>
      </w:r>
      <w:r w:rsidRPr="00E85070">
        <w:t xml:space="preserve"> </w:t>
      </w:r>
      <w:proofErr w:type="gramStart"/>
      <w:r w:rsidRPr="00E85070">
        <w:t>za stávají</w:t>
      </w:r>
      <w:proofErr w:type="gramEnd"/>
      <w:r w:rsidRPr="00E85070">
        <w:t xml:space="preserve"> text</w:t>
      </w:r>
      <w:r>
        <w:t>,</w:t>
      </w:r>
      <w:r w:rsidRPr="00E85070">
        <w:t xml:space="preserve"> požadujeme doplnit slova „technických norem a technických pravidel“ a</w:t>
      </w:r>
      <w:r>
        <w:t> </w:t>
      </w:r>
      <w:r w:rsidRPr="00E85070">
        <w:t>dále požadujeme doplnit nové písmeno d) „technické normy a technická pravidla“.</w:t>
      </w:r>
    </w:p>
    <w:p w:rsidR="00E85070" w:rsidRDefault="00E85070" w:rsidP="00B0614E">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E85070" w:rsidRPr="00E85070" w:rsidRDefault="00E85070" w:rsidP="00B0614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85070">
        <w:rPr>
          <w:b/>
        </w:rPr>
        <w:t>Úplné znění:</w:t>
      </w:r>
    </w:p>
    <w:p w:rsidR="00E85070" w:rsidRDefault="00E85070" w:rsidP="00B0614E">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Tahoma"/>
          <w:b/>
          <w:bCs/>
        </w:rPr>
      </w:pPr>
      <w:r>
        <w:rPr>
          <w:rFonts w:cs="Tahoma"/>
        </w:rPr>
        <w:t>„</w:t>
      </w:r>
      <w:proofErr w:type="gramStart"/>
      <w:r w:rsidRPr="00310586">
        <w:rPr>
          <w:rFonts w:cs="Tahoma"/>
        </w:rPr>
        <w:t>A.4</w:t>
      </w:r>
      <w:r>
        <w:rPr>
          <w:rFonts w:cs="Tahoma"/>
        </w:rPr>
        <w:t> </w:t>
      </w:r>
      <w:r w:rsidRPr="00310586">
        <w:rPr>
          <w:rFonts w:cs="Tahoma"/>
        </w:rPr>
        <w:t>Přehled</w:t>
      </w:r>
      <w:proofErr w:type="gramEnd"/>
      <w:r w:rsidRPr="00310586">
        <w:rPr>
          <w:rFonts w:cs="Tahoma"/>
        </w:rPr>
        <w:t xml:space="preserve"> použitých právních předpisů</w:t>
      </w:r>
      <w:r w:rsidRPr="00310586">
        <w:rPr>
          <w:rFonts w:cs="Tahoma"/>
          <w:b/>
          <w:bCs/>
        </w:rPr>
        <w:t>, technických norem a technických pravidel</w:t>
      </w:r>
    </w:p>
    <w:p w:rsidR="00E85070" w:rsidRDefault="00E85070" w:rsidP="00B0614E">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Tahoma"/>
        </w:rPr>
      </w:pPr>
      <w:r w:rsidRPr="00310586">
        <w:rPr>
          <w:rFonts w:cs="Tahoma"/>
        </w:rPr>
        <w:t xml:space="preserve">a) stavební zákon a jeho prováděcí </w:t>
      </w:r>
      <w:proofErr w:type="spellStart"/>
      <w:r w:rsidRPr="00310586">
        <w:rPr>
          <w:rFonts w:cs="Tahoma"/>
        </w:rPr>
        <w:t>předpisy</w:t>
      </w:r>
      <w:r w:rsidRPr="00E85070">
        <w:rPr>
          <w:rFonts w:cs="Tahoma"/>
          <w:vertAlign w:val="superscript"/>
        </w:rPr>
        <w:t>1</w:t>
      </w:r>
      <w:proofErr w:type="spellEnd"/>
      <w:r w:rsidRPr="00E85070">
        <w:rPr>
          <w:rFonts w:cs="Tahoma"/>
          <w:vertAlign w:val="superscript"/>
        </w:rPr>
        <w:t>)</w:t>
      </w:r>
      <w:r w:rsidRPr="00310586">
        <w:rPr>
          <w:rFonts w:cs="Tahoma"/>
        </w:rPr>
        <w:t>,</w:t>
      </w:r>
    </w:p>
    <w:p w:rsidR="00E85070" w:rsidRDefault="00E85070" w:rsidP="00B0614E">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Tahoma"/>
        </w:rPr>
      </w:pPr>
      <w:r w:rsidRPr="00310586">
        <w:rPr>
          <w:rFonts w:cs="Tahoma"/>
        </w:rPr>
        <w:t xml:space="preserve">b) zvláštní právní </w:t>
      </w:r>
      <w:proofErr w:type="spellStart"/>
      <w:r w:rsidRPr="00310586">
        <w:rPr>
          <w:rFonts w:cs="Tahoma"/>
        </w:rPr>
        <w:t>předpisy</w:t>
      </w:r>
      <w:r w:rsidRPr="00E85070">
        <w:rPr>
          <w:rFonts w:cs="Tahoma"/>
          <w:vertAlign w:val="superscript"/>
        </w:rPr>
        <w:t>2</w:t>
      </w:r>
      <w:proofErr w:type="spellEnd"/>
      <w:r w:rsidRPr="00E85070">
        <w:rPr>
          <w:rFonts w:cs="Tahoma"/>
          <w:vertAlign w:val="superscript"/>
        </w:rPr>
        <w:t>)</w:t>
      </w:r>
      <w:r w:rsidRPr="00310586">
        <w:rPr>
          <w:rFonts w:cs="Tahoma"/>
        </w:rPr>
        <w:t xml:space="preserve"> a jejich prováděcí </w:t>
      </w:r>
      <w:proofErr w:type="spellStart"/>
      <w:r w:rsidRPr="00310586">
        <w:rPr>
          <w:rFonts w:cs="Tahoma"/>
        </w:rPr>
        <w:t>předpisy</w:t>
      </w:r>
      <w:r w:rsidRPr="00E85070">
        <w:rPr>
          <w:rFonts w:cs="Tahoma"/>
          <w:vertAlign w:val="superscript"/>
        </w:rPr>
        <w:t>3</w:t>
      </w:r>
      <w:proofErr w:type="spellEnd"/>
      <w:r w:rsidRPr="00E85070">
        <w:rPr>
          <w:rFonts w:cs="Tahoma"/>
          <w:vertAlign w:val="superscript"/>
        </w:rPr>
        <w:t>)</w:t>
      </w:r>
      <w:r w:rsidRPr="00310586">
        <w:rPr>
          <w:rFonts w:cs="Tahoma"/>
        </w:rPr>
        <w:t>,</w:t>
      </w:r>
    </w:p>
    <w:p w:rsidR="00E85070" w:rsidRDefault="00E85070" w:rsidP="00B0614E">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Tahoma"/>
        </w:rPr>
      </w:pPr>
      <w:r w:rsidRPr="00310586">
        <w:rPr>
          <w:rFonts w:cs="Tahoma"/>
        </w:rPr>
        <w:t>c) seznam výjimek a odchylných řešení</w:t>
      </w:r>
      <w:r>
        <w:rPr>
          <w:rFonts w:cs="Tahoma"/>
        </w:rPr>
        <w:t>,</w:t>
      </w:r>
    </w:p>
    <w:p w:rsidR="00E85070" w:rsidRDefault="00E85070" w:rsidP="00B0614E">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310586">
        <w:rPr>
          <w:rFonts w:cs="Tahoma"/>
          <w:b/>
          <w:bCs/>
        </w:rPr>
        <w:t xml:space="preserve">d)  technické normy </w:t>
      </w:r>
      <w:r>
        <w:rPr>
          <w:rFonts w:cs="Tahoma"/>
          <w:b/>
        </w:rPr>
        <w:t>a technická</w:t>
      </w:r>
      <w:r w:rsidRPr="00A51593">
        <w:rPr>
          <w:rFonts w:cs="Tahoma"/>
          <w:b/>
        </w:rPr>
        <w:t xml:space="preserve"> pravidla</w:t>
      </w:r>
      <w:r>
        <w:rPr>
          <w:rFonts w:cs="Tahoma"/>
          <w:b/>
        </w:rPr>
        <w:t>.“</w:t>
      </w:r>
    </w:p>
    <w:p w:rsidR="00E85070" w:rsidRDefault="00E85070" w:rsidP="00B0614E">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E85070" w:rsidRDefault="00E85070" w:rsidP="00B0614E">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B0614E" w:rsidRPr="007A23E8" w:rsidRDefault="00B0614E" w:rsidP="00E85070">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lastRenderedPageBreak/>
        <w:t>Odůvodnění:</w:t>
      </w:r>
    </w:p>
    <w:p w:rsidR="00E85070" w:rsidRDefault="00E85070" w:rsidP="00B0614E">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310586">
        <w:rPr>
          <w:rFonts w:cs="Tahoma"/>
        </w:rPr>
        <w:t xml:space="preserve">Technické pravidla jsou ve smyslu čl. 3.1 ČSN </w:t>
      </w:r>
      <w:proofErr w:type="spellStart"/>
      <w:r w:rsidRPr="00310586">
        <w:rPr>
          <w:rFonts w:cs="Tahoma"/>
        </w:rPr>
        <w:t>EN</w:t>
      </w:r>
      <w:proofErr w:type="spellEnd"/>
      <w:r w:rsidRPr="00310586">
        <w:rPr>
          <w:rFonts w:cs="Tahoma"/>
        </w:rPr>
        <w:t xml:space="preserve"> 45020 normativním dokumentem obsahujícím pravidla správné praxe podle 3.5 ČSN </w:t>
      </w:r>
      <w:proofErr w:type="spellStart"/>
      <w:r w:rsidRPr="00310586">
        <w:rPr>
          <w:rFonts w:cs="Tahoma"/>
        </w:rPr>
        <w:t>EN</w:t>
      </w:r>
      <w:proofErr w:type="spellEnd"/>
      <w:r w:rsidRPr="00310586">
        <w:rPr>
          <w:rFonts w:cs="Tahoma"/>
        </w:rPr>
        <w:t xml:space="preserve"> 45020. Zákon č. 458/2000 Sb., o podmínkách podnikání a</w:t>
      </w:r>
      <w:r>
        <w:rPr>
          <w:rFonts w:cs="Tahoma"/>
        </w:rPr>
        <w:t> </w:t>
      </w:r>
      <w:r w:rsidRPr="00310586">
        <w:rPr>
          <w:rFonts w:cs="Tahoma"/>
        </w:rPr>
        <w:t>o</w:t>
      </w:r>
      <w:r>
        <w:rPr>
          <w:rFonts w:cs="Tahoma"/>
        </w:rPr>
        <w:t> </w:t>
      </w:r>
      <w:r w:rsidRPr="00310586">
        <w:rPr>
          <w:rFonts w:cs="Tahoma"/>
        </w:rPr>
        <w:t>výkonu státní správy v energetických odvětvích a o změně některých zákonů (energetický zákon) odkazuje na technické normy a pravidla v ustanovení §</w:t>
      </w:r>
      <w:r>
        <w:rPr>
          <w:rFonts w:cs="Tahoma"/>
        </w:rPr>
        <w:t xml:space="preserve"> </w:t>
      </w:r>
      <w:r w:rsidRPr="00310586">
        <w:rPr>
          <w:rFonts w:cs="Tahoma"/>
        </w:rPr>
        <w:t xml:space="preserve">11 odst. 1 písm. c). V odvětví plynárenství je organizací zajišťující tvorbu a pravidel praxe Český plynárenský svaz, který vykonává činnosti centra technické normalizace v procesu tvorby technických norem. Technické normy tzv. </w:t>
      </w:r>
      <w:proofErr w:type="spellStart"/>
      <w:r w:rsidRPr="00310586">
        <w:rPr>
          <w:rFonts w:cs="Tahoma"/>
        </w:rPr>
        <w:t>TPG</w:t>
      </w:r>
      <w:proofErr w:type="spellEnd"/>
      <w:r w:rsidRPr="00310586">
        <w:rPr>
          <w:rFonts w:cs="Tahoma"/>
        </w:rPr>
        <w:t xml:space="preserve"> jsou vypracovány ve spolupráci zainteresovaných stran pomocí konzultací a postupů konsenzu a od okamžiku jejich schválení jsou uvedenými orgány a organizacemi. Proces tvorby pravidel praxe se navíc řídí Metodickými pokyny pro plánování, tvorbu a schvalování pravidel praxe </w:t>
      </w:r>
      <w:proofErr w:type="spellStart"/>
      <w:r w:rsidRPr="00310586">
        <w:rPr>
          <w:rFonts w:cs="Tahoma"/>
        </w:rPr>
        <w:t>HK</w:t>
      </w:r>
      <w:proofErr w:type="spellEnd"/>
      <w:r w:rsidRPr="00310586">
        <w:rPr>
          <w:rFonts w:cs="Tahoma"/>
        </w:rPr>
        <w:t xml:space="preserve"> ČR, u které jsou technick</w:t>
      </w:r>
      <w:r>
        <w:rPr>
          <w:rFonts w:cs="Tahoma"/>
        </w:rPr>
        <w:t>á</w:t>
      </w:r>
      <w:r w:rsidRPr="00310586">
        <w:rPr>
          <w:rFonts w:cs="Tahoma"/>
        </w:rPr>
        <w:t xml:space="preserve"> pravidla registrována.  Mají tudíž charakter veřejně dostupného dokumentu, vypracovaného ve spolupráci zainteresovaných stran pomocí konzultací a postupů konsenzu a od okamžiku jejich schválení jsou uvedenými orgány a organizacemi považovány za uznaná technická pravidla vyjadřující stav techniky podle ustanovení 1.5 ČSN </w:t>
      </w:r>
      <w:proofErr w:type="spellStart"/>
      <w:r w:rsidRPr="00310586">
        <w:rPr>
          <w:rFonts w:cs="Tahoma"/>
        </w:rPr>
        <w:t>EN</w:t>
      </w:r>
      <w:proofErr w:type="spellEnd"/>
      <w:r w:rsidRPr="00310586">
        <w:rPr>
          <w:rFonts w:cs="Tahoma"/>
        </w:rPr>
        <w:t xml:space="preserve"> 45020. Tyto technické normy upravují mj. i zásady a postupy při zřizování a provozování plynárenských zařízení a stanoví základní požadavky na bezpečnost provozu plynárenských zařízení. Z tohoto důvodu by měly být obsahem dokumentace pro vydání rozhodnutí o</w:t>
      </w:r>
      <w:r>
        <w:rPr>
          <w:rFonts w:cs="Tahoma"/>
        </w:rPr>
        <w:t> </w:t>
      </w:r>
      <w:r w:rsidRPr="00310586">
        <w:rPr>
          <w:rFonts w:cs="Tahoma"/>
        </w:rPr>
        <w:t>umístění stavby nebo zařízení.</w:t>
      </w:r>
    </w:p>
    <w:p w:rsidR="00E85070" w:rsidRPr="0012401D" w:rsidRDefault="00E85070" w:rsidP="00E85070">
      <w:pPr>
        <w:spacing w:after="0" w:line="240" w:lineRule="auto"/>
        <w:jc w:val="both"/>
        <w:rPr>
          <w:rFonts w:cs="Arial"/>
        </w:rPr>
      </w:pPr>
    </w:p>
    <w:p w:rsidR="00E85070" w:rsidRDefault="00664ADC" w:rsidP="00E85070">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5</w:t>
      </w:r>
      <w:r w:rsidR="00E85070">
        <w:rPr>
          <w:b/>
        </w:rPr>
        <w:t xml:space="preserve">. </w:t>
      </w:r>
      <w:r w:rsidRPr="00664ADC">
        <w:rPr>
          <w:b/>
        </w:rPr>
        <w:t xml:space="preserve">Připomínka ke kapitolám </w:t>
      </w:r>
      <w:proofErr w:type="gramStart"/>
      <w:r w:rsidRPr="00664ADC">
        <w:rPr>
          <w:b/>
        </w:rPr>
        <w:t>A.5 (přílohy</w:t>
      </w:r>
      <w:proofErr w:type="gramEnd"/>
      <w:r w:rsidRPr="00664ADC">
        <w:rPr>
          <w:b/>
        </w:rPr>
        <w:t xml:space="preserve"> č. 1 až 13) a A.4 (příloha č. 15)</w:t>
      </w:r>
    </w:p>
    <w:p w:rsidR="00664ADC" w:rsidRDefault="00664ADC" w:rsidP="00E85070">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Požadujeme vypustit kapitoly </w:t>
      </w:r>
      <w:proofErr w:type="gramStart"/>
      <w:r>
        <w:t>A.5 (v příloze</w:t>
      </w:r>
      <w:proofErr w:type="gramEnd"/>
      <w:r>
        <w:t xml:space="preserve"> č. 1 až 13) a A.4 (v příloze č. 15) a přesunout tuto náležitost do kapitol </w:t>
      </w:r>
      <w:proofErr w:type="spellStart"/>
      <w:r>
        <w:t>E.1</w:t>
      </w:r>
      <w:proofErr w:type="spellEnd"/>
      <w:r>
        <w:t xml:space="preserve">, které by nově zněly: </w:t>
      </w:r>
      <w:r w:rsidRPr="00BD5C43">
        <w:t xml:space="preserve">Závazná stanoviska, stanoviska, rozhodnutí, vyjádření dotčených orgánů, </w:t>
      </w:r>
      <w:r w:rsidRPr="00BD5C43">
        <w:rPr>
          <w:b/>
        </w:rPr>
        <w:t>vč. údajů o splnění požadavků dotčených orgánů</w:t>
      </w:r>
      <w:r w:rsidRPr="00BD5C43">
        <w:t>.</w:t>
      </w:r>
    </w:p>
    <w:p w:rsidR="00E85070" w:rsidRDefault="00E85070" w:rsidP="00E85070">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E85070" w:rsidRPr="007A23E8" w:rsidRDefault="00E85070" w:rsidP="00E85070">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505FE1" w:rsidRDefault="00505FE1" w:rsidP="00E85070">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Tahoma"/>
        </w:rPr>
      </w:pPr>
      <w:r w:rsidRPr="00505FE1">
        <w:rPr>
          <w:rFonts w:cs="Tahoma"/>
        </w:rPr>
        <w:t>Z praktického hlediska (s významným časovým a finančním dopadem) považujeme za nezbytné uvést vypořádání připomínek dotčených orgánů v dokladové části, tam kam tato problematika věcně patří (neměla by tedy být roztříštěna v různých částech dokumentace). V případě ponechání jako součást souhrnné zprávy, může být ze strany úřadů vyžadováno opakované vyjadřování dotčených orgánů k celé dokumentaci, byť jde pouze o upřesnění údajů o splnění požadavků dotčených orgánů, které dotčené orgány specifikovaly ve svých podkladech pro řízení.</w:t>
      </w:r>
    </w:p>
    <w:p w:rsidR="00505FE1" w:rsidRPr="0012401D" w:rsidRDefault="00505FE1" w:rsidP="00505FE1">
      <w:pPr>
        <w:spacing w:after="0" w:line="240" w:lineRule="auto"/>
        <w:jc w:val="both"/>
        <w:rPr>
          <w:rFonts w:cs="Arial"/>
        </w:rPr>
      </w:pP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6. </w:t>
      </w:r>
      <w:r w:rsidRPr="00505FE1">
        <w:rPr>
          <w:b/>
        </w:rPr>
        <w:t xml:space="preserve">Připomínka k příloze č. 1, 2, 7, 8, 12, 13 a 15 kapitole </w:t>
      </w:r>
      <w:proofErr w:type="gramStart"/>
      <w:r w:rsidRPr="00505FE1">
        <w:rPr>
          <w:b/>
        </w:rPr>
        <w:t>C.1 písm.</w:t>
      </w:r>
      <w:proofErr w:type="gramEnd"/>
      <w:r w:rsidRPr="00505FE1">
        <w:rPr>
          <w:b/>
        </w:rPr>
        <w:t xml:space="preserve"> d) a k příloze č. 9 kapitole C.1 písm. e)</w:t>
      </w: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Požadujeme následující úpravu textu: „</w:t>
      </w:r>
      <w:r w:rsidRPr="00C73C23">
        <w:t>d) vyznačení hranic dotčeného území</w:t>
      </w:r>
      <w:r w:rsidRPr="007E3EAC">
        <w:rPr>
          <w:b/>
        </w:rPr>
        <w:t>,</w:t>
      </w:r>
      <w:r w:rsidRPr="00C73C23">
        <w:rPr>
          <w:b/>
        </w:rPr>
        <w:t xml:space="preserve"> na kterém má být stavba umístěna</w:t>
      </w:r>
      <w:r>
        <w:t>.“.</w:t>
      </w: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505FE1" w:rsidRPr="007A23E8" w:rsidRDefault="00505FE1" w:rsidP="00505FE1">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Tahoma"/>
        </w:rPr>
      </w:pPr>
      <w:r>
        <w:t>Znění navrhované předkladatelem je neurčité, proto jej navrhujeme upřesnit v tom smyslu, že se zakresluje pouze území, na kterém má být stavba umístěna. Obdobně provést úpravy i v dalších relevantních přílohách vyhlášky.</w:t>
      </w:r>
    </w:p>
    <w:p w:rsidR="00505FE1" w:rsidRPr="0012401D" w:rsidRDefault="00505FE1" w:rsidP="00505FE1">
      <w:pPr>
        <w:spacing w:after="0" w:line="240" w:lineRule="auto"/>
        <w:jc w:val="both"/>
        <w:rPr>
          <w:rFonts w:cs="Arial"/>
        </w:rPr>
      </w:pP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7. Připomínka k příloze č. 1 kapitole </w:t>
      </w:r>
      <w:proofErr w:type="gramStart"/>
      <w:r>
        <w:rPr>
          <w:b/>
        </w:rPr>
        <w:t>C.2 písm.</w:t>
      </w:r>
      <w:proofErr w:type="gramEnd"/>
      <w:r>
        <w:rPr>
          <w:b/>
        </w:rPr>
        <w:t xml:space="preserve"> j)</w:t>
      </w: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505FE1">
        <w:t>Ustanovení písmena j) požadujeme doplnit o slova „a stavby od technické infrastruktury“.</w:t>
      </w: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505FE1" w:rsidRP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505FE1">
        <w:rPr>
          <w:b/>
        </w:rPr>
        <w:t>Úplné znění:</w:t>
      </w: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Pr>
          <w:rFonts w:cs="Tahoma"/>
        </w:rPr>
        <w:t>„</w:t>
      </w:r>
      <w:r w:rsidRPr="00A51593">
        <w:rPr>
          <w:rFonts w:cs="Tahoma"/>
        </w:rPr>
        <w:t xml:space="preserve">j) okótované odstupy staveb </w:t>
      </w:r>
      <w:r w:rsidRPr="00A51593">
        <w:rPr>
          <w:rFonts w:cs="Tahoma"/>
          <w:b/>
          <w:bCs/>
        </w:rPr>
        <w:t>a stavby od technické infrastruktury</w:t>
      </w:r>
      <w:r w:rsidRPr="00A51593">
        <w:rPr>
          <w:rFonts w:cs="Tahoma"/>
        </w:rPr>
        <w:t>,</w:t>
      </w:r>
      <w:r>
        <w:rPr>
          <w:rFonts w:cs="Tahoma"/>
        </w:rPr>
        <w:t>“</w:t>
      </w: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505FE1" w:rsidRPr="007A23E8" w:rsidRDefault="00505FE1" w:rsidP="00505FE1">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51593">
        <w:rPr>
          <w:rFonts w:cs="Tahoma"/>
        </w:rPr>
        <w:t xml:space="preserve">Koordinační situační výkres by měl kromě okótovaných odstupů staveb obsahovat i odstupy staveb od technické infrastruktury, které jsou stanoveny např. normou ČSN 736005 „Prostorové uspořádání sítí technické infrastruktury“. Dodržování minimálních normativních hodnot </w:t>
      </w:r>
      <w:proofErr w:type="spellStart"/>
      <w:r w:rsidRPr="00A51593">
        <w:rPr>
          <w:rFonts w:cs="Tahoma"/>
        </w:rPr>
        <w:t>odstupových</w:t>
      </w:r>
      <w:proofErr w:type="spellEnd"/>
      <w:r w:rsidRPr="00A51593">
        <w:rPr>
          <w:rFonts w:cs="Tahoma"/>
        </w:rPr>
        <w:t xml:space="preserve"> vzdáleností je nezbytné pro bezpečné a spolehlivé provozování sítí technické infrastruktury.</w:t>
      </w:r>
    </w:p>
    <w:p w:rsidR="00505FE1" w:rsidRPr="0012401D" w:rsidRDefault="00505FE1" w:rsidP="00505FE1">
      <w:pPr>
        <w:spacing w:after="0" w:line="240" w:lineRule="auto"/>
        <w:jc w:val="both"/>
        <w:rPr>
          <w:rFonts w:cs="Arial"/>
        </w:rPr>
      </w:pP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lastRenderedPageBreak/>
        <w:t xml:space="preserve">8. </w:t>
      </w:r>
      <w:r w:rsidRPr="00E734A8">
        <w:rPr>
          <w:b/>
        </w:rPr>
        <w:t xml:space="preserve">Připomínka k příloze č. 2 </w:t>
      </w:r>
      <w:proofErr w:type="gramStart"/>
      <w:r w:rsidRPr="00E734A8">
        <w:rPr>
          <w:b/>
        </w:rPr>
        <w:t>kapitole B.3 písm.</w:t>
      </w:r>
      <w:proofErr w:type="gramEnd"/>
      <w:r w:rsidRPr="00E734A8">
        <w:rPr>
          <w:b/>
        </w:rPr>
        <w:t xml:space="preserve"> c)</w:t>
      </w: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Požadujeme vypustit písm. c).</w:t>
      </w: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505FE1" w:rsidRPr="007A23E8" w:rsidRDefault="00505FE1" w:rsidP="00505FE1">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505FE1" w:rsidRDefault="00505FE1" w:rsidP="00505FE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C73C23">
        <w:t>Způsob likvidace dešťových vod považujeme v této části</w:t>
      </w:r>
      <w:r>
        <w:t xml:space="preserve"> dokumentace a u staveb tohoto typu</w:t>
      </w:r>
      <w:r w:rsidRPr="00C73C23">
        <w:t xml:space="preserve"> za nadbytečnou informaci. Z hlediska hlavního dopadu náležitostí se bude jednat o stavby typu plynovod, vodovod, vedení elektrické energie, které nevyžadují řešení svodu a odstranění dešťových vod. Pokud by v nějakém specifickém případě taková situace nastala např. u technologických objektů, pak je to obecně řešeno v </w:t>
      </w:r>
      <w:proofErr w:type="gramStart"/>
      <w:r w:rsidRPr="00C73C23">
        <w:t>kapitole B.</w:t>
      </w:r>
      <w:proofErr w:type="spellStart"/>
      <w:r w:rsidRPr="00C73C23">
        <w:t>2.1</w:t>
      </w:r>
      <w:proofErr w:type="gramEnd"/>
      <w:r w:rsidRPr="00C73C23">
        <w:t>.g</w:t>
      </w:r>
      <w:proofErr w:type="spellEnd"/>
      <w:r w:rsidRPr="00C73C23">
        <w:t>), zde se pak jedná o duplicitu. Proto navrhujeme vypuštění celého písmene</w:t>
      </w:r>
      <w:r>
        <w:t xml:space="preserve"> v souladu s přílohou č. 9, kde způsob likvidace dešťových vod rovněž není explicitně uveden.</w:t>
      </w:r>
    </w:p>
    <w:p w:rsidR="00505FE1" w:rsidRPr="0012401D" w:rsidRDefault="00505FE1" w:rsidP="00505FE1">
      <w:pPr>
        <w:spacing w:after="0" w:line="240" w:lineRule="auto"/>
        <w:jc w:val="both"/>
        <w:rPr>
          <w:rFonts w:cs="Arial"/>
        </w:rPr>
      </w:pPr>
    </w:p>
    <w:p w:rsidR="0021247B" w:rsidRDefault="0021247B" w:rsidP="0021247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9. </w:t>
      </w:r>
      <w:r w:rsidRPr="00C73C23">
        <w:rPr>
          <w:b/>
        </w:rPr>
        <w:t xml:space="preserve">Připomínka k příloze č. 2 kapitole </w:t>
      </w:r>
      <w:proofErr w:type="gramStart"/>
      <w:r w:rsidRPr="00C73C23">
        <w:rPr>
          <w:b/>
        </w:rPr>
        <w:t>C.1 písm.</w:t>
      </w:r>
      <w:proofErr w:type="gramEnd"/>
      <w:r w:rsidRPr="00C73C23">
        <w:rPr>
          <w:b/>
        </w:rPr>
        <w:t xml:space="preserve"> c)</w:t>
      </w:r>
      <w:r>
        <w:rPr>
          <w:b/>
        </w:rPr>
        <w:t xml:space="preserve"> (a k přílohám č. 1, 7, 8, 12 a 13 kapitole C.1 písm. c) a příloze č. 9 kapitole C.1 písm. d))</w:t>
      </w:r>
    </w:p>
    <w:p w:rsidR="0021247B" w:rsidRDefault="0021247B" w:rsidP="0021247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Požadujeme vypustit písm. c).</w:t>
      </w:r>
    </w:p>
    <w:p w:rsidR="0021247B" w:rsidRDefault="0021247B" w:rsidP="0021247B">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21247B" w:rsidRPr="007A23E8" w:rsidRDefault="0021247B" w:rsidP="0021247B">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21247B" w:rsidRDefault="0021247B" w:rsidP="0021247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Vyznačení všech ochranných a bezpečnostních pásem v měřítku výkresu širších vztahů se jeví jako nepřínosné. Pokud se bude např. jednat o pásma o šířce 2 m, pak nebudou v daném měřítku v podstatě vidět a přínos takového výkresu bude nulový. Zároveň je zanesení ochranných a bezpečnostních pásem součástí koordinačního situačního výkresu pod kapitolou </w:t>
      </w:r>
      <w:proofErr w:type="gramStart"/>
      <w:r>
        <w:t>C.2 písm.</w:t>
      </w:r>
      <w:proofErr w:type="gramEnd"/>
      <w:r>
        <w:t xml:space="preserve"> j) – dle typu přílohy. </w:t>
      </w:r>
      <w:r w:rsidRPr="00C73C23">
        <w:t>Proto n</w:t>
      </w:r>
      <w:r>
        <w:t>avrhujeme vypuštění celého bodu, a to ze všech relevantních příloh.</w:t>
      </w:r>
    </w:p>
    <w:p w:rsidR="00277DFF" w:rsidRPr="0012401D" w:rsidRDefault="00277DFF" w:rsidP="00277DFF">
      <w:pPr>
        <w:spacing w:after="0" w:line="240" w:lineRule="auto"/>
        <w:jc w:val="both"/>
        <w:rPr>
          <w:rFonts w:cs="Arial"/>
        </w:rPr>
      </w:pPr>
    </w:p>
    <w:p w:rsidR="00277DFF" w:rsidRDefault="00277DFF" w:rsidP="00277DFF">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10. </w:t>
      </w:r>
      <w:r w:rsidRPr="00A96C0A">
        <w:rPr>
          <w:b/>
        </w:rPr>
        <w:t>Připomínka k příloze č. 2</w:t>
      </w:r>
      <w:r>
        <w:rPr>
          <w:b/>
        </w:rPr>
        <w:t xml:space="preserve"> </w:t>
      </w:r>
      <w:r w:rsidRPr="00A96C0A">
        <w:rPr>
          <w:b/>
        </w:rPr>
        <w:t xml:space="preserve">kapitole </w:t>
      </w:r>
      <w:proofErr w:type="gramStart"/>
      <w:r w:rsidRPr="00A96C0A">
        <w:rPr>
          <w:b/>
        </w:rPr>
        <w:t>C.2 písm.</w:t>
      </w:r>
      <w:proofErr w:type="gramEnd"/>
      <w:r w:rsidRPr="00A96C0A">
        <w:rPr>
          <w:b/>
        </w:rPr>
        <w:t xml:space="preserve"> a)</w:t>
      </w:r>
    </w:p>
    <w:p w:rsidR="00277DFF" w:rsidRDefault="00277DFF" w:rsidP="00277DFF">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96C0A">
        <w:t xml:space="preserve">Požadujeme následující úpravu textu: „a) měřítko 1 : 200 až 1 : </w:t>
      </w:r>
      <w:r w:rsidRPr="00A96C0A">
        <w:rPr>
          <w:strike/>
        </w:rPr>
        <w:t>1</w:t>
      </w:r>
      <w:r w:rsidRPr="00A96C0A">
        <w:rPr>
          <w:b/>
        </w:rPr>
        <w:t>2</w:t>
      </w:r>
      <w:r w:rsidRPr="00A96C0A">
        <w:t xml:space="preserve"> 000, </w:t>
      </w:r>
      <w:r w:rsidRPr="00A96C0A">
        <w:rPr>
          <w:strike/>
        </w:rPr>
        <w:t>u rozsáhlých staveb 1 : 2 000 až</w:t>
      </w:r>
      <w:r w:rsidRPr="00A96C0A">
        <w:rPr>
          <w:b/>
          <w:strike/>
        </w:rPr>
        <w:t xml:space="preserve"> </w:t>
      </w:r>
      <w:r w:rsidRPr="00A96C0A">
        <w:rPr>
          <w:strike/>
        </w:rPr>
        <w:t>1 : 10 000,</w:t>
      </w:r>
      <w:r w:rsidRPr="00A96C0A">
        <w:t>“.</w:t>
      </w:r>
    </w:p>
    <w:p w:rsidR="00277DFF" w:rsidRDefault="00277DFF" w:rsidP="00277DFF">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277DFF" w:rsidRPr="007A23E8" w:rsidRDefault="00277DFF" w:rsidP="00277DFF">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5D2008" w:rsidRDefault="005D2008" w:rsidP="00277DFF">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96C0A">
        <w:t xml:space="preserve">V měřítku 1:10000 nelze vyznačit parcelní čísla tak je požadováno v písm. e) a rovněž tam budou </w:t>
      </w:r>
      <w:r w:rsidRPr="00A96C0A">
        <w:rPr>
          <w:rFonts w:cs="Arial"/>
        </w:rPr>
        <w:t xml:space="preserve">obtížně znázornitelné např. křížení se stavbami dopravní a technické infrastruktury i hranice pozemků. </w:t>
      </w:r>
      <w:r w:rsidRPr="00A96C0A">
        <w:t>Proto navrhujeme vymezit použití měřítka max. 1:2000.</w:t>
      </w:r>
    </w:p>
    <w:p w:rsidR="005D2008" w:rsidRPr="0012401D" w:rsidRDefault="005D2008" w:rsidP="005D2008">
      <w:pPr>
        <w:spacing w:after="0" w:line="240" w:lineRule="auto"/>
        <w:jc w:val="both"/>
        <w:rPr>
          <w:rFonts w:cs="Arial"/>
        </w:rPr>
      </w:pPr>
    </w:p>
    <w:p w:rsidR="005D2008" w:rsidRDefault="005D2008" w:rsidP="005D2008">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11. </w:t>
      </w:r>
      <w:r w:rsidRPr="00C73C23">
        <w:rPr>
          <w:b/>
        </w:rPr>
        <w:t xml:space="preserve">Připomínka k příloze č. 2 kapitole </w:t>
      </w:r>
      <w:proofErr w:type="gramStart"/>
      <w:r w:rsidRPr="00C73C23">
        <w:rPr>
          <w:b/>
        </w:rPr>
        <w:t>C.</w:t>
      </w:r>
      <w:r>
        <w:rPr>
          <w:b/>
        </w:rPr>
        <w:t>2 písm.</w:t>
      </w:r>
      <w:proofErr w:type="gramEnd"/>
      <w:r>
        <w:rPr>
          <w:b/>
        </w:rPr>
        <w:t xml:space="preserve"> d</w:t>
      </w:r>
      <w:r w:rsidRPr="00C73C23">
        <w:rPr>
          <w:b/>
        </w:rPr>
        <w:t>)</w:t>
      </w:r>
      <w:r>
        <w:rPr>
          <w:b/>
        </w:rPr>
        <w:t xml:space="preserve"> (obdobně v kapitolách C.2 písm. i) v přílohách č. 1, 8, 9, 12 a 13)</w:t>
      </w:r>
    </w:p>
    <w:p w:rsidR="005D2008" w:rsidRDefault="005D2008" w:rsidP="005D2008">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96C0A">
        <w:rPr>
          <w:rFonts w:cs="Arial"/>
        </w:rPr>
        <w:t xml:space="preserve">Pojem „plochy vegetace“ </w:t>
      </w:r>
      <w:r>
        <w:rPr>
          <w:rFonts w:cs="Arial"/>
        </w:rPr>
        <w:t>požadujeme</w:t>
      </w:r>
      <w:r w:rsidRPr="00A96C0A">
        <w:rPr>
          <w:rFonts w:cs="Arial"/>
        </w:rPr>
        <w:t xml:space="preserve"> konkrétněji specifikovat, zda se jedná pouze o pozemky určené pro funkci lesa nebo i </w:t>
      </w:r>
      <w:proofErr w:type="spellStart"/>
      <w:r w:rsidRPr="00A96C0A">
        <w:rPr>
          <w:rFonts w:cs="Arial"/>
        </w:rPr>
        <w:t>mimolesní</w:t>
      </w:r>
      <w:proofErr w:type="spellEnd"/>
      <w:r w:rsidRPr="00A96C0A">
        <w:rPr>
          <w:rFonts w:cs="Arial"/>
        </w:rPr>
        <w:t xml:space="preserve"> zeleň? Není také zřejmé, zda mají být vyznačeny plochy určené ke kácení a náhradní výsadba.</w:t>
      </w:r>
      <w:r>
        <w:rPr>
          <w:rFonts w:cs="Arial"/>
        </w:rPr>
        <w:t xml:space="preserve"> Úpravu požadujeme provést ve všech relevantních přílohách. Zároveň je třeba sjednotit pojmy „plochy vegetace“ a „řešení vegetace“, které jsou v identických kapitolách příloh nesystematicky odlišné.</w:t>
      </w:r>
    </w:p>
    <w:p w:rsidR="005D2008" w:rsidRPr="0012401D" w:rsidRDefault="005D2008" w:rsidP="005D2008">
      <w:pPr>
        <w:spacing w:after="0" w:line="240" w:lineRule="auto"/>
        <w:jc w:val="both"/>
        <w:rPr>
          <w:rFonts w:cs="Arial"/>
        </w:rPr>
      </w:pPr>
    </w:p>
    <w:p w:rsidR="005D2008" w:rsidRDefault="005D2008" w:rsidP="005D2008">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12. </w:t>
      </w:r>
      <w:r w:rsidRPr="00C73C23">
        <w:rPr>
          <w:b/>
        </w:rPr>
        <w:t xml:space="preserve">Připomínka k příloze č. 2 kapitole </w:t>
      </w:r>
      <w:proofErr w:type="gramStart"/>
      <w:r w:rsidRPr="00C73C23">
        <w:rPr>
          <w:b/>
        </w:rPr>
        <w:t>C.</w:t>
      </w:r>
      <w:r>
        <w:rPr>
          <w:b/>
        </w:rPr>
        <w:t>2  nové</w:t>
      </w:r>
      <w:proofErr w:type="gramEnd"/>
      <w:r>
        <w:rPr>
          <w:b/>
        </w:rPr>
        <w:t xml:space="preserve"> písm. n</w:t>
      </w:r>
      <w:r w:rsidRPr="00C73C23">
        <w:rPr>
          <w:b/>
        </w:rPr>
        <w:t>)</w:t>
      </w:r>
    </w:p>
    <w:p w:rsidR="005D2008" w:rsidRDefault="005D2008" w:rsidP="005D2008">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9E1C71">
        <w:rPr>
          <w:rFonts w:cs="Tahoma"/>
        </w:rPr>
        <w:t xml:space="preserve">Požadujeme doplnění nového písmene n) </w:t>
      </w:r>
      <w:r>
        <w:rPr>
          <w:rFonts w:cs="Tahoma"/>
        </w:rPr>
        <w:t xml:space="preserve">ve znění: </w:t>
      </w:r>
      <w:r w:rsidRPr="009E1C71">
        <w:rPr>
          <w:rFonts w:cs="Tahoma"/>
          <w:b/>
        </w:rPr>
        <w:t>„</w:t>
      </w:r>
      <w:r w:rsidRPr="009E1C71">
        <w:rPr>
          <w:rFonts w:cs="Tahoma"/>
          <w:b/>
          <w:bCs/>
        </w:rPr>
        <w:t>okótované odstupy staveb</w:t>
      </w:r>
      <w:r w:rsidRPr="009E1C71">
        <w:rPr>
          <w:rFonts w:cs="Tahoma"/>
          <w:b/>
        </w:rPr>
        <w:t xml:space="preserve"> </w:t>
      </w:r>
      <w:r w:rsidRPr="009E1C71">
        <w:rPr>
          <w:rFonts w:cs="Tahoma"/>
          <w:b/>
          <w:bCs/>
        </w:rPr>
        <w:t>a stavby od technické infrastruktury</w:t>
      </w:r>
      <w:r w:rsidRPr="009E1C71">
        <w:rPr>
          <w:rFonts w:cs="Tahoma"/>
          <w:b/>
        </w:rPr>
        <w:t>“.</w:t>
      </w:r>
    </w:p>
    <w:p w:rsidR="005D2008" w:rsidRDefault="005D2008" w:rsidP="005D2008">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5D2008" w:rsidRPr="007A23E8" w:rsidRDefault="005D2008" w:rsidP="005D2008">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5D2008" w:rsidRDefault="005D2008" w:rsidP="005D2008">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9E1C71">
        <w:rPr>
          <w:rFonts w:cs="Tahoma"/>
        </w:rPr>
        <w:t xml:space="preserve">Dodržování minimálních normativních hodnot </w:t>
      </w:r>
      <w:proofErr w:type="spellStart"/>
      <w:r w:rsidRPr="009E1C71">
        <w:rPr>
          <w:rFonts w:cs="Tahoma"/>
        </w:rPr>
        <w:t>odstupových</w:t>
      </w:r>
      <w:proofErr w:type="spellEnd"/>
      <w:r w:rsidRPr="009E1C71">
        <w:rPr>
          <w:rFonts w:cs="Tahoma"/>
        </w:rPr>
        <w:t xml:space="preserve"> vzdáleností je nezbytné pro bezpečné a spolehlivé provozování sítí technické infrastruktury.</w:t>
      </w:r>
    </w:p>
    <w:p w:rsidR="005D2008" w:rsidRPr="0012401D" w:rsidRDefault="005D2008" w:rsidP="005D2008">
      <w:pPr>
        <w:spacing w:after="0" w:line="240" w:lineRule="auto"/>
        <w:jc w:val="both"/>
        <w:rPr>
          <w:rFonts w:cs="Arial"/>
        </w:rPr>
      </w:pPr>
    </w:p>
    <w:p w:rsidR="005D2008" w:rsidRDefault="005D2008" w:rsidP="005D2008">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13. Připomínka k příloze č. 2 kapitole </w:t>
      </w:r>
      <w:proofErr w:type="gramStart"/>
      <w:r>
        <w:rPr>
          <w:b/>
        </w:rPr>
        <w:t>C.3 písm.</w:t>
      </w:r>
      <w:proofErr w:type="gramEnd"/>
      <w:r>
        <w:rPr>
          <w:b/>
        </w:rPr>
        <w:t xml:space="preserve"> c)</w:t>
      </w:r>
    </w:p>
    <w:p w:rsidR="005D2008" w:rsidRDefault="005D2008" w:rsidP="005D2008">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E734A8">
        <w:t xml:space="preserve">Požadujeme přesunout obsah kapitoly </w:t>
      </w:r>
      <w:proofErr w:type="gramStart"/>
      <w:r w:rsidRPr="00E734A8">
        <w:t>C.3 písm.</w:t>
      </w:r>
      <w:proofErr w:type="gramEnd"/>
      <w:r w:rsidRPr="00E734A8">
        <w:t xml:space="preserve"> c) do kapitoly C.4. Kapitola </w:t>
      </w:r>
      <w:proofErr w:type="gramStart"/>
      <w:r w:rsidRPr="00E734A8">
        <w:t>C.4 by</w:t>
      </w:r>
      <w:proofErr w:type="gramEnd"/>
      <w:r w:rsidRPr="00E734A8">
        <w:t xml:space="preserve"> zněla: </w:t>
      </w:r>
      <w:r>
        <w:t>„</w:t>
      </w:r>
      <w:r w:rsidRPr="00E734A8">
        <w:t>Situační výkresy vyhotovené podle potřeby ve vhodném měřítku zobrazující speciální požadavky objektů, technologických zařízení, technických sítí, infrastruktury nebo souvisejících inženýrských opatření</w:t>
      </w:r>
      <w:r w:rsidRPr="00E734A8">
        <w:rPr>
          <w:b/>
        </w:rPr>
        <w:t>, vyznačení dalších vazeb a vlivů na okolí</w:t>
      </w:r>
      <w:r>
        <w:t>“.</w:t>
      </w:r>
    </w:p>
    <w:p w:rsidR="005D2008" w:rsidRDefault="005D2008" w:rsidP="005D2008">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5D2008" w:rsidRPr="007A23E8" w:rsidRDefault="005D2008" w:rsidP="005D2008">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lastRenderedPageBreak/>
        <w:t>Odůvodnění:</w:t>
      </w:r>
    </w:p>
    <w:p w:rsidR="005D2008" w:rsidRDefault="005D2008" w:rsidP="005D2008">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Tahoma"/>
        </w:rPr>
      </w:pPr>
      <w:r>
        <w:t xml:space="preserve">Navrhujeme přesun obsahu bodu </w:t>
      </w:r>
      <w:proofErr w:type="gramStart"/>
      <w:r>
        <w:t>C.3 písm.</w:t>
      </w:r>
      <w:proofErr w:type="gramEnd"/>
      <w:r>
        <w:t xml:space="preserve"> c) do kapitoly C.4. Samotné znění bodu je neurčité a do velké míry duplicitní s kapitolou </w:t>
      </w:r>
      <w:proofErr w:type="gramStart"/>
      <w:r>
        <w:t>C.2 Koordinační</w:t>
      </w:r>
      <w:proofErr w:type="gramEnd"/>
      <w:r>
        <w:t xml:space="preserve"> výkresy. V kapitole </w:t>
      </w:r>
      <w:proofErr w:type="gramStart"/>
      <w:r>
        <w:t>C.4 tak</w:t>
      </w:r>
      <w:proofErr w:type="gramEnd"/>
      <w:r>
        <w:t xml:space="preserve"> budou zakresleny speciální požadavky nebo jiné vazby na okolí, které nejsou explicitně vymezeny jako požadavky pro </w:t>
      </w:r>
      <w:r w:rsidRPr="00A96C0A">
        <w:t>koordinační výkresy v kapitole C.2.</w:t>
      </w:r>
    </w:p>
    <w:p w:rsidR="005D2008" w:rsidRPr="0012401D" w:rsidRDefault="005D2008" w:rsidP="005D2008">
      <w:pPr>
        <w:spacing w:after="0" w:line="240" w:lineRule="auto"/>
        <w:jc w:val="both"/>
        <w:rPr>
          <w:rFonts w:cs="Arial"/>
        </w:rPr>
      </w:pPr>
    </w:p>
    <w:p w:rsidR="006E6BDD" w:rsidRDefault="006E6BDD" w:rsidP="006E6BD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14. </w:t>
      </w:r>
      <w:r w:rsidRPr="00A96C0A">
        <w:rPr>
          <w:b/>
        </w:rPr>
        <w:t xml:space="preserve">Připomínka k příloze č. 2 </w:t>
      </w:r>
      <w:proofErr w:type="gramStart"/>
      <w:r w:rsidRPr="00A96C0A">
        <w:rPr>
          <w:b/>
        </w:rPr>
        <w:t xml:space="preserve">kapitole </w:t>
      </w:r>
      <w:proofErr w:type="spellStart"/>
      <w:r w:rsidRPr="00A96C0A">
        <w:rPr>
          <w:b/>
        </w:rPr>
        <w:t>D.3</w:t>
      </w:r>
      <w:proofErr w:type="spellEnd"/>
      <w:proofErr w:type="gramEnd"/>
    </w:p>
    <w:p w:rsidR="006E6BDD" w:rsidRDefault="006E6BDD" w:rsidP="006E6BD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5613E2">
        <w:t xml:space="preserve">U základních pohledů upozorňujeme, že v případech, kdy není k dispozici </w:t>
      </w:r>
      <w:proofErr w:type="spellStart"/>
      <w:r w:rsidRPr="005613E2">
        <w:t>3D</w:t>
      </w:r>
      <w:proofErr w:type="spellEnd"/>
      <w:r w:rsidRPr="005613E2">
        <w:t xml:space="preserve"> modelování, může být</w:t>
      </w:r>
      <w:r w:rsidRPr="00A96C0A">
        <w:rPr>
          <w:rFonts w:cs="Arial"/>
        </w:rPr>
        <w:t xml:space="preserve"> problematické vytvořit pohledy dokumentující začlenění stavby do stávající zástavby nebo krajiny.</w:t>
      </w:r>
    </w:p>
    <w:p w:rsidR="00B4719E" w:rsidRPr="0012401D" w:rsidRDefault="00B4719E" w:rsidP="00B4719E">
      <w:pPr>
        <w:spacing w:after="0" w:line="240" w:lineRule="auto"/>
        <w:jc w:val="both"/>
        <w:rPr>
          <w:rFonts w:cs="Arial"/>
        </w:rPr>
      </w:pPr>
    </w:p>
    <w:p w:rsidR="00B4719E" w:rsidRDefault="00B4719E" w:rsidP="00B4719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15. </w:t>
      </w:r>
      <w:r w:rsidRPr="007E74D4">
        <w:rPr>
          <w:b/>
        </w:rPr>
        <w:t xml:space="preserve">Připomínka k příloze č. 2 </w:t>
      </w:r>
      <w:proofErr w:type="gramStart"/>
      <w:r w:rsidRPr="007E74D4">
        <w:rPr>
          <w:b/>
        </w:rPr>
        <w:t xml:space="preserve">kapitole </w:t>
      </w:r>
      <w:proofErr w:type="spellStart"/>
      <w:r w:rsidRPr="007E74D4">
        <w:rPr>
          <w:b/>
        </w:rPr>
        <w:t>E.3</w:t>
      </w:r>
      <w:proofErr w:type="spellEnd"/>
      <w:proofErr w:type="gramEnd"/>
    </w:p>
    <w:p w:rsidR="00B4719E" w:rsidRDefault="00B4719E" w:rsidP="00B4719E">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Tahoma"/>
        </w:rPr>
      </w:pPr>
      <w:r>
        <w:rPr>
          <w:rFonts w:cs="Arial"/>
        </w:rPr>
        <w:t>Požadujeme</w:t>
      </w:r>
      <w:r w:rsidRPr="007E74D4">
        <w:rPr>
          <w:rFonts w:cs="Arial"/>
        </w:rPr>
        <w:t xml:space="preserve"> za stávající text doplnit slova: </w:t>
      </w:r>
      <w:r w:rsidRPr="007E74D4">
        <w:rPr>
          <w:rFonts w:cs="Arial"/>
          <w:b/>
        </w:rPr>
        <w:t>„</w:t>
      </w:r>
      <w:r w:rsidRPr="007E74D4">
        <w:rPr>
          <w:b/>
        </w:rPr>
        <w:t>(u souvisejících technologických objektů)“</w:t>
      </w:r>
      <w:r w:rsidRPr="00B4719E">
        <w:t>.</w:t>
      </w:r>
    </w:p>
    <w:p w:rsidR="00B4719E" w:rsidRDefault="00B4719E" w:rsidP="00B4719E">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B4719E" w:rsidRPr="007A23E8" w:rsidRDefault="00B4719E" w:rsidP="00B4719E">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B4719E" w:rsidRDefault="00B4719E" w:rsidP="00B4719E">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Tahoma"/>
        </w:rPr>
      </w:pPr>
      <w:r w:rsidRPr="007E74D4">
        <w:t>Doklad, prokazující shodu vlastností výrobku, který plní funkci stavby nebo technická dokumentace výrobce nebo dovozce, kterým bude možno podle § 86 odst. 2 písm. e) novely stavebního zákona nahradit výkresovou část se týká výhradně souvisejících technologických objektů.</w:t>
      </w:r>
    </w:p>
    <w:p w:rsidR="003007BF" w:rsidRPr="0012401D" w:rsidRDefault="003007BF" w:rsidP="003007BF">
      <w:pPr>
        <w:spacing w:after="0" w:line="240" w:lineRule="auto"/>
        <w:jc w:val="both"/>
        <w:rPr>
          <w:rFonts w:cs="Arial"/>
        </w:rPr>
      </w:pPr>
    </w:p>
    <w:p w:rsidR="003007BF" w:rsidRDefault="003007BF" w:rsidP="003007BF">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16. </w:t>
      </w:r>
      <w:r w:rsidRPr="00513998">
        <w:rPr>
          <w:b/>
        </w:rPr>
        <w:t xml:space="preserve">Připomínka k příloze č. 5 </w:t>
      </w:r>
      <w:proofErr w:type="gramStart"/>
      <w:r w:rsidRPr="00513998">
        <w:rPr>
          <w:b/>
        </w:rPr>
        <w:t>kapitole B.1</w:t>
      </w:r>
      <w:proofErr w:type="gramEnd"/>
    </w:p>
    <w:p w:rsidR="003007BF" w:rsidRDefault="003007BF" w:rsidP="003007BF">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t>Požadujeme v </w:t>
      </w:r>
      <w:proofErr w:type="gramStart"/>
      <w:r>
        <w:t>kapitole B.1 písm.</w:t>
      </w:r>
      <w:proofErr w:type="gramEnd"/>
      <w:r>
        <w:t xml:space="preserve"> j) a k) nahradit slova „stavby“ textem „souboru staveb“. Předmětná písmena by zněla: „j) </w:t>
      </w:r>
      <w:r w:rsidRPr="00513998">
        <w:t xml:space="preserve">věcné a časové vazby </w:t>
      </w:r>
      <w:r w:rsidRPr="00513998">
        <w:rPr>
          <w:strike/>
        </w:rPr>
        <w:t>stavby</w:t>
      </w:r>
      <w:r>
        <w:t xml:space="preserve"> </w:t>
      </w:r>
      <w:r w:rsidRPr="00513998">
        <w:rPr>
          <w:b/>
        </w:rPr>
        <w:t>souboru staveb</w:t>
      </w:r>
      <w:r w:rsidRPr="00513998">
        <w:t>, podmiňující, vyvolané, související investice,</w:t>
      </w:r>
      <w:r>
        <w:t xml:space="preserve">“ a „k) </w:t>
      </w:r>
      <w:r w:rsidRPr="00513998">
        <w:t xml:space="preserve">seznam pozemků a staveb dotčených umístěním </w:t>
      </w:r>
      <w:r w:rsidRPr="00513998">
        <w:rPr>
          <w:strike/>
        </w:rPr>
        <w:t>stavby</w:t>
      </w:r>
      <w:r w:rsidRPr="00513998">
        <w:t xml:space="preserve"> </w:t>
      </w:r>
      <w:r>
        <w:rPr>
          <w:b/>
        </w:rPr>
        <w:t xml:space="preserve">souboru staveb </w:t>
      </w:r>
      <w:r w:rsidRPr="00513998">
        <w:t>(podle katastru nemovitostí),</w:t>
      </w:r>
      <w:r>
        <w:t>“.</w:t>
      </w:r>
    </w:p>
    <w:p w:rsidR="003007BF" w:rsidRDefault="003007BF" w:rsidP="003007BF">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3007BF" w:rsidRPr="007A23E8" w:rsidRDefault="003007BF" w:rsidP="003007BF">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384901" w:rsidRDefault="00384901" w:rsidP="003007BF">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Navrhovanou úpravou dochází upřesnění pojmů v souladu s celkovou koncepcí této přílohy.</w:t>
      </w:r>
    </w:p>
    <w:p w:rsidR="00384901" w:rsidRPr="0012401D" w:rsidRDefault="00384901" w:rsidP="00384901">
      <w:pPr>
        <w:spacing w:after="0" w:line="240" w:lineRule="auto"/>
        <w:jc w:val="both"/>
        <w:rPr>
          <w:rFonts w:cs="Arial"/>
        </w:rPr>
      </w:pP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17. Připomínka k příloze č. 8, 12 a 13</w:t>
      </w:r>
      <w:r w:rsidRPr="00C73C23">
        <w:rPr>
          <w:b/>
        </w:rPr>
        <w:t xml:space="preserve"> kapitole </w:t>
      </w:r>
      <w:proofErr w:type="gramStart"/>
      <w:r w:rsidRPr="00C73C23">
        <w:rPr>
          <w:b/>
        </w:rPr>
        <w:t>C.</w:t>
      </w:r>
      <w:r>
        <w:rPr>
          <w:b/>
        </w:rPr>
        <w:t>2 písm.</w:t>
      </w:r>
      <w:proofErr w:type="gramEnd"/>
      <w:r>
        <w:rPr>
          <w:b/>
        </w:rPr>
        <w:t xml:space="preserve"> a</w:t>
      </w:r>
      <w:r w:rsidRPr="00C73C23">
        <w:rPr>
          <w:b/>
        </w:rPr>
        <w:t>)</w:t>
      </w:r>
      <w:r>
        <w:rPr>
          <w:b/>
        </w:rPr>
        <w:t xml:space="preserve"> a </w:t>
      </w:r>
      <w:r w:rsidRPr="001F6851">
        <w:rPr>
          <w:b/>
        </w:rPr>
        <w:t>příloze č. 14 kapitole C.1 písm. a)</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482005">
        <w:t xml:space="preserve">Požadujeme následující úpravu textu: „a) měřítko 1 : 200 až 1 : 1 000, u rozsáhlých staveb 1 : 2 000 </w:t>
      </w:r>
      <w:r w:rsidRPr="00482005">
        <w:rPr>
          <w:strike/>
        </w:rPr>
        <w:t>nebo 1 : 5 000,</w:t>
      </w:r>
      <w:r w:rsidRPr="00482005">
        <w:t xml:space="preserve"> u</w:t>
      </w:r>
      <w:r>
        <w:t xml:space="preserve"> změny </w:t>
      </w:r>
      <w:r w:rsidRPr="001F6851">
        <w:t>stavby, která je kulturní památkou, u stavby v památkové rezervaci nebo v památkové zóně v měřítku 1 : 200,</w:t>
      </w:r>
      <w:r>
        <w:t>“.</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384901" w:rsidRPr="007A23E8" w:rsidRDefault="00384901" w:rsidP="00384901">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F6851">
        <w:t>V měřítku 1</w:t>
      </w:r>
      <w:r>
        <w:t> </w:t>
      </w:r>
      <w:r w:rsidRPr="001F6851">
        <w:t>:</w:t>
      </w:r>
      <w:r>
        <w:t> </w:t>
      </w:r>
      <w:r w:rsidRPr="001F6851">
        <w:t>5000 nebo 1</w:t>
      </w:r>
      <w:r>
        <w:t> </w:t>
      </w:r>
      <w:r w:rsidRPr="001F6851">
        <w:t>:</w:t>
      </w:r>
      <w:r>
        <w:t> </w:t>
      </w:r>
      <w:r w:rsidRPr="001F6851">
        <w:t xml:space="preserve">10000 nelze vyznačit parcelní čísla a rovněž tam budou </w:t>
      </w:r>
      <w:r w:rsidRPr="001F6851">
        <w:rPr>
          <w:rFonts w:cs="Arial"/>
        </w:rPr>
        <w:t xml:space="preserve">obtížně znázornitelné např. křížení se stavbami dopravní a technické infrastruktury i hranice pozemků. </w:t>
      </w:r>
      <w:r w:rsidRPr="001F6851">
        <w:t xml:space="preserve"> Proto navrhujeme vymezit použití měřítka max. 1:2000.</w:t>
      </w:r>
    </w:p>
    <w:p w:rsidR="00384901" w:rsidRPr="0012401D" w:rsidRDefault="00384901" w:rsidP="00384901">
      <w:pPr>
        <w:spacing w:after="0" w:line="240" w:lineRule="auto"/>
        <w:jc w:val="both"/>
        <w:rPr>
          <w:rFonts w:cs="Arial"/>
        </w:rPr>
      </w:pP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18. </w:t>
      </w:r>
      <w:r w:rsidRPr="001F6851">
        <w:rPr>
          <w:b/>
        </w:rPr>
        <w:t xml:space="preserve">Připomínka k příloze č. 8 kapitole </w:t>
      </w:r>
      <w:proofErr w:type="gramStart"/>
      <w:r w:rsidRPr="001F6851">
        <w:rPr>
          <w:b/>
        </w:rPr>
        <w:t>C.4</w:t>
      </w:r>
      <w:proofErr w:type="gramEnd"/>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Požadujeme</w:t>
      </w:r>
      <w:r w:rsidRPr="001F6851">
        <w:t xml:space="preserve"> konkrétněji specifikovat, zda speciální situační výkres má obsahovat řešení </w:t>
      </w:r>
      <w:proofErr w:type="spellStart"/>
      <w:r w:rsidRPr="001F6851">
        <w:t>mimolesní</w:t>
      </w:r>
      <w:proofErr w:type="spellEnd"/>
      <w:r w:rsidRPr="001F6851">
        <w:t xml:space="preserve"> zeleně, která bude kácena, nebo veškerou vegetaci včetně lesa.</w:t>
      </w:r>
    </w:p>
    <w:p w:rsidR="00384901" w:rsidRPr="0012401D" w:rsidRDefault="00384901" w:rsidP="00384901">
      <w:pPr>
        <w:spacing w:after="0" w:line="240" w:lineRule="auto"/>
        <w:jc w:val="both"/>
        <w:rPr>
          <w:rFonts w:cs="Arial"/>
        </w:rPr>
      </w:pP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19. </w:t>
      </w:r>
      <w:r w:rsidRPr="00A96C0A">
        <w:rPr>
          <w:b/>
        </w:rPr>
        <w:t xml:space="preserve">Připomínka k příloze č. </w:t>
      </w:r>
      <w:r>
        <w:rPr>
          <w:b/>
        </w:rPr>
        <w:t>9</w:t>
      </w:r>
      <w:r w:rsidRPr="00A96C0A">
        <w:rPr>
          <w:b/>
        </w:rPr>
        <w:t xml:space="preserve"> kapitole </w:t>
      </w:r>
      <w:proofErr w:type="gramStart"/>
      <w:r w:rsidRPr="00A96C0A">
        <w:rPr>
          <w:b/>
        </w:rPr>
        <w:t>C.2 písm.</w:t>
      </w:r>
      <w:proofErr w:type="gramEnd"/>
      <w:r w:rsidRPr="00A96C0A">
        <w:rPr>
          <w:b/>
        </w:rPr>
        <w:t xml:space="preserve"> a)</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96C0A">
        <w:t xml:space="preserve">Požadujeme následující úpravu textu: „a) měřítko 1 : 200 až 1 : </w:t>
      </w:r>
      <w:r w:rsidRPr="00A96C0A">
        <w:rPr>
          <w:strike/>
        </w:rPr>
        <w:t>1</w:t>
      </w:r>
      <w:r w:rsidRPr="00A96C0A">
        <w:rPr>
          <w:b/>
        </w:rPr>
        <w:t>2</w:t>
      </w:r>
      <w:r w:rsidRPr="00A96C0A">
        <w:t xml:space="preserve"> 000, </w:t>
      </w:r>
      <w:r w:rsidRPr="00A96C0A">
        <w:rPr>
          <w:strike/>
        </w:rPr>
        <w:t>u rozsáhlých staveb 1 : 2</w:t>
      </w:r>
      <w:r>
        <w:rPr>
          <w:strike/>
        </w:rPr>
        <w:t> </w:t>
      </w:r>
      <w:r w:rsidRPr="00A96C0A">
        <w:rPr>
          <w:strike/>
        </w:rPr>
        <w:t>000</w:t>
      </w:r>
      <w:r>
        <w:rPr>
          <w:strike/>
        </w:rPr>
        <w:t xml:space="preserve"> nebo 1 : 5 000,</w:t>
      </w:r>
      <w:r w:rsidRPr="00A96C0A">
        <w:rPr>
          <w:b/>
          <w:strike/>
        </w:rPr>
        <w:t xml:space="preserve"> </w:t>
      </w:r>
      <w:r w:rsidRPr="00A96C0A">
        <w:rPr>
          <w:strike/>
        </w:rPr>
        <w:t>1 : 10 000,</w:t>
      </w:r>
      <w:r w:rsidRPr="00A96C0A">
        <w:t>“.</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384901" w:rsidRPr="007A23E8" w:rsidRDefault="00384901" w:rsidP="00384901">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96C0A">
        <w:t xml:space="preserve">V měřítku 1:10000 nelze vyznačit parcelní </w:t>
      </w:r>
      <w:proofErr w:type="gramStart"/>
      <w:r w:rsidRPr="00A96C0A">
        <w:t>čísla tak</w:t>
      </w:r>
      <w:proofErr w:type="gramEnd"/>
      <w:r w:rsidRPr="00A96C0A">
        <w:t xml:space="preserve"> </w:t>
      </w:r>
      <w:r>
        <w:t xml:space="preserve">jak </w:t>
      </w:r>
      <w:r w:rsidRPr="00A96C0A">
        <w:t xml:space="preserve">je požadováno v písm. e) a rovněž tam budou </w:t>
      </w:r>
      <w:r w:rsidRPr="00A96C0A">
        <w:rPr>
          <w:rFonts w:cs="Arial"/>
        </w:rPr>
        <w:t xml:space="preserve">obtížně znázornitelné např. křížení se stavbami dopravní a technické infrastruktury i hranice pozemků. </w:t>
      </w:r>
      <w:r w:rsidRPr="00A96C0A">
        <w:t>Proto navrhujeme vymezit použití měřítka max. 1:2000.</w:t>
      </w:r>
    </w:p>
    <w:p w:rsidR="00384901" w:rsidRPr="0012401D" w:rsidRDefault="00384901" w:rsidP="00384901">
      <w:pPr>
        <w:spacing w:after="0" w:line="240" w:lineRule="auto"/>
        <w:jc w:val="both"/>
        <w:rPr>
          <w:rFonts w:cs="Arial"/>
        </w:rPr>
      </w:pP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20. Připomínka k příloze č. 9 </w:t>
      </w:r>
      <w:proofErr w:type="gramStart"/>
      <w:r>
        <w:rPr>
          <w:b/>
        </w:rPr>
        <w:t>kapitole B.1 písm.</w:t>
      </w:r>
      <w:proofErr w:type="gramEnd"/>
      <w:r>
        <w:rPr>
          <w:b/>
        </w:rPr>
        <w:t xml:space="preserve"> j)</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lastRenderedPageBreak/>
        <w:t xml:space="preserve">Požadujeme následující úpravu textu: „j) seznam pozemků a staveb </w:t>
      </w:r>
      <w:r w:rsidRPr="00AD56F1">
        <w:rPr>
          <w:strike/>
        </w:rPr>
        <w:t>dotčených umístěním stavby</w:t>
      </w:r>
      <w:r w:rsidRPr="00AD56F1">
        <w:rPr>
          <w:b/>
        </w:rPr>
        <w:t>, na kterých bude stavba umístěna</w:t>
      </w:r>
      <w:r w:rsidRPr="00AD56F1">
        <w:t xml:space="preserve"> </w:t>
      </w:r>
      <w:r>
        <w:t>(podle katastru nemovitostí).“.</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384901" w:rsidRPr="007A23E8" w:rsidRDefault="00384901" w:rsidP="00384901">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Znění </w:t>
      </w:r>
      <w:r w:rsidRPr="00AD56F1">
        <w:rPr>
          <w:rFonts w:cs="Arial"/>
        </w:rPr>
        <w:t>navrhované</w:t>
      </w:r>
      <w:r>
        <w:t xml:space="preserve"> předkladatelem je neurčité, proto jej navrhujeme upřesnit v tom smyslu, že se zakresluje pouze území, na kterém má být stavba umístěna. Obdobně definováno v typově obdobné dokumentaci pro územní řízení pod č. 2.</w:t>
      </w:r>
    </w:p>
    <w:p w:rsidR="00384901" w:rsidRPr="0012401D" w:rsidRDefault="00384901" w:rsidP="00384901">
      <w:pPr>
        <w:spacing w:after="0" w:line="240" w:lineRule="auto"/>
        <w:jc w:val="both"/>
        <w:rPr>
          <w:rFonts w:cs="Arial"/>
        </w:rPr>
      </w:pP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21. </w:t>
      </w:r>
      <w:r w:rsidRPr="00AD56F1">
        <w:rPr>
          <w:b/>
        </w:rPr>
        <w:t xml:space="preserve">Připomínka k příloze č. 9 </w:t>
      </w:r>
      <w:proofErr w:type="gramStart"/>
      <w:r w:rsidRPr="00AD56F1">
        <w:rPr>
          <w:b/>
        </w:rPr>
        <w:t>kapitole B.1</w:t>
      </w:r>
      <w:proofErr w:type="gramEnd"/>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F6851">
        <w:rPr>
          <w:rFonts w:cs="Arial"/>
        </w:rPr>
        <w:t>Do této ka</w:t>
      </w:r>
      <w:r>
        <w:rPr>
          <w:rFonts w:cs="Arial"/>
        </w:rPr>
        <w:t>pitoly doplnit nové písmeno l) v</w:t>
      </w:r>
      <w:r w:rsidRPr="001F6851">
        <w:rPr>
          <w:rFonts w:cs="Arial"/>
        </w:rPr>
        <w:t> následujícím znění:</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F6851">
        <w:rPr>
          <w:rFonts w:cs="Arial"/>
        </w:rPr>
        <w:t>„</w:t>
      </w:r>
      <w:r w:rsidRPr="001F6851">
        <w:rPr>
          <w:rFonts w:cs="Arial"/>
          <w:b/>
        </w:rPr>
        <w:t xml:space="preserve">l) </w:t>
      </w:r>
      <w:r w:rsidRPr="001F6851">
        <w:rPr>
          <w:b/>
        </w:rPr>
        <w:t xml:space="preserve">seznam pozemků a staveb, </w:t>
      </w:r>
      <w:r>
        <w:rPr>
          <w:b/>
        </w:rPr>
        <w:t>na kterých vznikne</w:t>
      </w:r>
      <w:r w:rsidRPr="001F6851">
        <w:rPr>
          <w:b/>
        </w:rPr>
        <w:t xml:space="preserve"> ochrann</w:t>
      </w:r>
      <w:r>
        <w:rPr>
          <w:b/>
        </w:rPr>
        <w:t>é</w:t>
      </w:r>
      <w:r w:rsidRPr="001F6851">
        <w:rPr>
          <w:b/>
        </w:rPr>
        <w:t xml:space="preserve"> nebo bezpečnostní pásm</w:t>
      </w:r>
      <w:r>
        <w:rPr>
          <w:b/>
        </w:rPr>
        <w:t>o</w:t>
      </w:r>
      <w:r w:rsidRPr="001F6851">
        <w:rPr>
          <w:b/>
        </w:rPr>
        <w:t xml:space="preserve"> (podle katastru nemovitostí)“</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384901" w:rsidRPr="007A23E8" w:rsidRDefault="00384901" w:rsidP="00384901">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F6851">
        <w:rPr>
          <w:rFonts w:cs="Arial"/>
        </w:rPr>
        <w:t xml:space="preserve">V příloze č. 2 k vyhlášce č. 499/2006 Sb., která řeší DUR pro liniové stavby je bod „l) seznam pozemků a staveb, na kterých vznikne ochranné a bezpečnostní pásmo (podle katastru nemovitostí)“. Stejný obsah by měl být i v této příloze. V návaznosti na naší připomínku </w:t>
      </w:r>
      <w:r>
        <w:rPr>
          <w:rFonts w:cs="Arial"/>
        </w:rPr>
        <w:t>uplatněnou k DUR pro liniové stavby (</w:t>
      </w:r>
      <w:r w:rsidRPr="001F6851">
        <w:t>přílo</w:t>
      </w:r>
      <w:r>
        <w:t>ha</w:t>
      </w:r>
      <w:r w:rsidRPr="001F6851">
        <w:t xml:space="preserve"> č. 2 </w:t>
      </w:r>
      <w:proofErr w:type="gramStart"/>
      <w:r w:rsidRPr="001F6851">
        <w:t>kapitol</w:t>
      </w:r>
      <w:r>
        <w:t>a</w:t>
      </w:r>
      <w:r w:rsidRPr="001F6851">
        <w:t xml:space="preserve"> B.1 písm.</w:t>
      </w:r>
      <w:proofErr w:type="gramEnd"/>
      <w:r w:rsidRPr="001F6851">
        <w:t xml:space="preserve"> l))</w:t>
      </w:r>
      <w:r w:rsidRPr="001F6851">
        <w:rPr>
          <w:rFonts w:cs="Arial"/>
        </w:rPr>
        <w:t xml:space="preserve"> navrhujeme</w:t>
      </w:r>
      <w:r>
        <w:rPr>
          <w:rFonts w:cs="Arial"/>
        </w:rPr>
        <w:t xml:space="preserve"> uvedení ve</w:t>
      </w:r>
      <w:r w:rsidRPr="001F6851">
        <w:rPr>
          <w:rFonts w:cs="Arial"/>
        </w:rPr>
        <w:t xml:space="preserve"> výše uvedené</w:t>
      </w:r>
      <w:r>
        <w:rPr>
          <w:rFonts w:cs="Arial"/>
        </w:rPr>
        <w:t>m</w:t>
      </w:r>
      <w:r w:rsidRPr="001F6851">
        <w:rPr>
          <w:rFonts w:cs="Arial"/>
        </w:rPr>
        <w:t xml:space="preserve"> znění.</w:t>
      </w:r>
    </w:p>
    <w:p w:rsidR="00384901" w:rsidRPr="0012401D" w:rsidRDefault="00384901" w:rsidP="00384901">
      <w:pPr>
        <w:spacing w:after="0" w:line="240" w:lineRule="auto"/>
        <w:jc w:val="both"/>
        <w:rPr>
          <w:rFonts w:cs="Arial"/>
        </w:rPr>
      </w:pP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22. </w:t>
      </w:r>
      <w:r w:rsidRPr="004D0052">
        <w:rPr>
          <w:b/>
        </w:rPr>
        <w:t>Připomínka k čl. II Přechodná ustanovení</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F94258">
        <w:t>Požadujeme provést v odst. 1 následující úpravy:</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Pr>
          <w:rFonts w:ascii="Calibri" w:eastAsia="Calibri" w:hAnsi="Calibri"/>
        </w:rPr>
        <w:t xml:space="preserve">1. </w:t>
      </w:r>
      <w:proofErr w:type="gramStart"/>
      <w:r w:rsidRPr="00E213A7">
        <w:rPr>
          <w:rFonts w:ascii="Calibri" w:eastAsia="Calibri" w:hAnsi="Calibri"/>
        </w:rPr>
        <w:t>Dokumentace</w:t>
      </w:r>
      <w:proofErr w:type="gramEnd"/>
      <w:r w:rsidRPr="00E213A7">
        <w:rPr>
          <w:rFonts w:ascii="Calibri" w:eastAsia="Calibri" w:hAnsi="Calibri"/>
        </w:rPr>
        <w:t xml:space="preserve"> a projektová dokumentace podle </w:t>
      </w:r>
      <w:hyperlink r:id="rId10" w:history="1">
        <w:r w:rsidRPr="00E213A7">
          <w:rPr>
            <w:rFonts w:ascii="Calibri" w:eastAsia="Calibri" w:hAnsi="Calibri"/>
          </w:rPr>
          <w:t xml:space="preserve">§ </w:t>
        </w:r>
        <w:proofErr w:type="spellStart"/>
        <w:r w:rsidRPr="00E213A7">
          <w:rPr>
            <w:rFonts w:ascii="Calibri" w:eastAsia="Calibri" w:hAnsi="Calibri"/>
          </w:rPr>
          <w:t>1a</w:t>
        </w:r>
        <w:proofErr w:type="spellEnd"/>
        <w:r w:rsidRPr="00E213A7">
          <w:rPr>
            <w:rFonts w:ascii="Calibri" w:eastAsia="Calibri" w:hAnsi="Calibri"/>
          </w:rPr>
          <w:t xml:space="preserve"> až 2 a § 4 a 5 vyhlášky</w:t>
        </w:r>
      </w:hyperlink>
      <w:r w:rsidRPr="00E213A7">
        <w:rPr>
          <w:rFonts w:ascii="Calibri" w:eastAsia="Calibri" w:hAnsi="Calibri"/>
        </w:rPr>
        <w:t xml:space="preserve"> č. 499/2006 Sb., která byla zpracována </w:t>
      </w:r>
      <w:r w:rsidRPr="00E213A7">
        <w:rPr>
          <w:rFonts w:ascii="Calibri" w:eastAsia="Calibri" w:hAnsi="Calibri"/>
          <w:b/>
        </w:rPr>
        <w:t>podle vyhlášky č. </w:t>
      </w:r>
      <w:hyperlink r:id="rId11" w:history="1">
        <w:r w:rsidRPr="00E213A7">
          <w:rPr>
            <w:rFonts w:ascii="Calibri" w:eastAsia="Calibri" w:hAnsi="Calibri"/>
            <w:b/>
          </w:rPr>
          <w:t>499/2006 Sb.</w:t>
        </w:r>
      </w:hyperlink>
      <w:r w:rsidRPr="00E213A7">
        <w:rPr>
          <w:rFonts w:ascii="Calibri" w:eastAsia="Calibri" w:hAnsi="Calibri"/>
          <w:b/>
        </w:rPr>
        <w:t xml:space="preserve">, ve znění účinném do dne nabytí účinnosti této vyhlášky </w:t>
      </w:r>
      <w:r w:rsidRPr="00E213A7">
        <w:rPr>
          <w:rFonts w:ascii="Calibri" w:eastAsia="Calibri" w:hAnsi="Calibri"/>
          <w:strike/>
        </w:rPr>
        <w:t>přede dnem nabytí účinnosti této vyhlášky</w:t>
      </w:r>
      <w:r w:rsidRPr="00E213A7">
        <w:rPr>
          <w:rFonts w:ascii="Calibri" w:eastAsia="Calibri" w:hAnsi="Calibri"/>
        </w:rPr>
        <w:t xml:space="preserve"> a předložena stavebnímu úřadu do 31. prosince 2019, se posuzuje podle dosavadní právní úpravy.</w:t>
      </w:r>
    </w:p>
    <w:p w:rsidR="00384901" w:rsidRDefault="00384901"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384901" w:rsidRPr="007A23E8" w:rsidRDefault="00384901" w:rsidP="00384901">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A23E8">
        <w:rPr>
          <w:b/>
        </w:rPr>
        <w:t>Odůvodnění:</w:t>
      </w:r>
    </w:p>
    <w:p w:rsidR="00780E4C" w:rsidRDefault="00780E4C"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F94258">
        <w:t>Jedinou dostačující podmínkou pro uznání dokumentací, které splňují obsahové požadavky dosavadní vyhlášky, by měla být pouze lhůta pro jejich uplatnění v řízení. Splnění požadavku „</w:t>
      </w:r>
      <w:r w:rsidRPr="00F94258">
        <w:rPr>
          <w:i/>
        </w:rPr>
        <w:t>která byla zpracována přede dnem nabytí účinnosti této vyhlášky</w:t>
      </w:r>
      <w:r w:rsidRPr="00F94258">
        <w:t>“ totiž nebude možné posoudit, jelikož pravidla pro určení „dnu zpracování“ nejsou stanovena v žádném právním předpise. Může tak např. nastat situace, kdy dokumentace je zpracovaná přede dnem nabytí účinnosti vyhlášky, avšak po dni nabytí účinnosti vyhlášky bude muset být stavebníkem dodatečně měněná (např. zapracováním požadavků dotčených orgánů, se kterými bude taková dokumentace v té době projednávaná). Z návrhu vyhlášky je zcela nejisté, zda takto dodatečně měněná dokumentace bude považována za dokumentaci zpracovanou přede dnem nabytí účinnosti vyhlášky nebo, díky jejímu doplnění, bude považována již za dokumentaci zpracovanou po nabytí účinnosti vyhlášky. Pokud by šlo o druhý případ, mělo by to fatální následky v podobně nutnosti přepracování dokumentace podle nových požadavků vyhlášky a nutnost takto (podstatně) změněnou dokumentaci opět projednat s dotčenými orgány a jinými subjekty. Je tedy třeba přechodné ustanovení v tomto smyslu vyjasnit a odstranit tak nejistotu stavebníků i stavebních úřadů v tom, ke kterému časovému okamžiku mají „den zpracování dokumentace“ určovat.</w:t>
      </w:r>
    </w:p>
    <w:p w:rsidR="00780E4C" w:rsidRDefault="00780E4C" w:rsidP="00384901">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F94258">
        <w:t>Pokud je hlavním principem stanovení nových náležitostí dokumentací zjednodušení obsahu dokumentací, pak není třeba stanovit jiné kritérium použitelnosti dosavadních dokumentací, nežli je datum jejich použití před stavebním úřadem.</w:t>
      </w:r>
    </w:p>
    <w:p w:rsidR="00384901" w:rsidRPr="0012401D" w:rsidRDefault="00384901" w:rsidP="00384901">
      <w:pPr>
        <w:spacing w:after="0" w:line="240" w:lineRule="auto"/>
        <w:jc w:val="both"/>
        <w:rPr>
          <w:rFonts w:cs="Arial"/>
        </w:rPr>
      </w:pPr>
    </w:p>
    <w:p w:rsidR="00244811" w:rsidRDefault="00244811" w:rsidP="00223516">
      <w:pPr>
        <w:spacing w:after="0" w:line="240" w:lineRule="auto"/>
        <w:jc w:val="both"/>
        <w:rPr>
          <w:rFonts w:cs="Arial"/>
        </w:rPr>
      </w:pPr>
    </w:p>
    <w:p w:rsidR="00244811" w:rsidRDefault="00244811" w:rsidP="00223516">
      <w:pPr>
        <w:spacing w:after="0" w:line="240" w:lineRule="auto"/>
        <w:jc w:val="both"/>
        <w:rPr>
          <w:rFonts w:cs="Arial"/>
        </w:rPr>
      </w:pPr>
    </w:p>
    <w:p w:rsidR="00244811" w:rsidRDefault="00244811" w:rsidP="00223516">
      <w:pPr>
        <w:spacing w:after="0" w:line="240" w:lineRule="auto"/>
        <w:jc w:val="both"/>
        <w:rPr>
          <w:rFonts w:cs="Arial"/>
        </w:rPr>
      </w:pPr>
    </w:p>
    <w:p w:rsidR="00244811" w:rsidRDefault="00244811" w:rsidP="00223516">
      <w:pPr>
        <w:spacing w:after="0" w:line="240" w:lineRule="auto"/>
        <w:jc w:val="both"/>
        <w:rPr>
          <w:rFonts w:cs="Arial"/>
        </w:rPr>
      </w:pPr>
    </w:p>
    <w:p w:rsidR="00244811" w:rsidRPr="0012401D" w:rsidRDefault="00244811" w:rsidP="00223516">
      <w:pPr>
        <w:spacing w:after="0" w:line="240" w:lineRule="auto"/>
        <w:jc w:val="both"/>
        <w:rPr>
          <w:rFonts w:cs="Arial"/>
        </w:rPr>
      </w:pPr>
    </w:p>
    <w:p w:rsidR="00830443" w:rsidRPr="0012401D" w:rsidRDefault="00830443" w:rsidP="00223516">
      <w:pPr>
        <w:spacing w:after="0" w:line="240" w:lineRule="auto"/>
        <w:jc w:val="both"/>
        <w:rPr>
          <w:rFonts w:cs="Arial"/>
        </w:rPr>
      </w:pPr>
    </w:p>
    <w:p w:rsidR="00223516" w:rsidRPr="0012401D" w:rsidRDefault="00BC50CC" w:rsidP="00223516">
      <w:pPr>
        <w:spacing w:after="0" w:line="240" w:lineRule="auto"/>
        <w:jc w:val="both"/>
        <w:rPr>
          <w:rFonts w:cs="Arial"/>
        </w:rPr>
      </w:pPr>
      <w:r w:rsidRPr="0012401D">
        <w:rPr>
          <w:rFonts w:cs="Arial"/>
        </w:rPr>
        <w:t xml:space="preserve">Praha </w:t>
      </w:r>
      <w:r w:rsidR="00E85070">
        <w:rPr>
          <w:rFonts w:cs="Arial"/>
        </w:rPr>
        <w:t>31</w:t>
      </w:r>
      <w:r w:rsidR="00223516" w:rsidRPr="0012401D">
        <w:rPr>
          <w:rFonts w:cs="Arial"/>
        </w:rPr>
        <w:t xml:space="preserve">. </w:t>
      </w:r>
      <w:r w:rsidR="00E85070">
        <w:rPr>
          <w:rFonts w:cs="Arial"/>
        </w:rPr>
        <w:t>7</w:t>
      </w:r>
      <w:r w:rsidR="00223516" w:rsidRPr="0012401D">
        <w:rPr>
          <w:rFonts w:cs="Arial"/>
        </w:rPr>
        <w:t>. 201</w:t>
      </w:r>
      <w:r w:rsidR="00B91E54" w:rsidRPr="0012401D">
        <w:rPr>
          <w:rFonts w:cs="Arial"/>
        </w:rPr>
        <w:t>7</w:t>
      </w:r>
    </w:p>
    <w:sectPr w:rsidR="00223516" w:rsidRPr="0012401D" w:rsidSect="0094600B">
      <w:footerReference w:type="default" r:id="rId12"/>
      <w:headerReference w:type="first" r:id="rId13"/>
      <w:footerReference w:type="first" r:id="rId14"/>
      <w:pgSz w:w="11906" w:h="16838" w:code="9"/>
      <w:pgMar w:top="2126" w:right="1134" w:bottom="992" w:left="1134" w:header="709" w:footer="32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B63" w:rsidRDefault="00550B63" w:rsidP="00A86B2C">
      <w:pPr>
        <w:spacing w:after="0" w:line="240" w:lineRule="auto"/>
      </w:pPr>
      <w:r>
        <w:separator/>
      </w:r>
    </w:p>
  </w:endnote>
  <w:endnote w:type="continuationSeparator" w:id="0">
    <w:p w:rsidR="00550B63" w:rsidRDefault="00550B63" w:rsidP="00A86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20935"/>
      <w:docPartObj>
        <w:docPartGallery w:val="Page Numbers (Bottom of Page)"/>
        <w:docPartUnique/>
      </w:docPartObj>
    </w:sdtPr>
    <w:sdtEndPr>
      <w:rPr>
        <w:rFonts w:ascii="Arial" w:hAnsi="Arial" w:cs="Arial"/>
      </w:rPr>
    </w:sdtEndPr>
    <w:sdtContent>
      <w:p w:rsidR="0094600B" w:rsidRPr="0094600B" w:rsidRDefault="00BD6CF9">
        <w:pPr>
          <w:pStyle w:val="Zpat"/>
          <w:jc w:val="center"/>
          <w:rPr>
            <w:rFonts w:ascii="Arial" w:hAnsi="Arial" w:cs="Arial"/>
          </w:rPr>
        </w:pPr>
        <w:r w:rsidRPr="0094600B">
          <w:rPr>
            <w:rFonts w:ascii="Arial" w:hAnsi="Arial" w:cs="Arial"/>
          </w:rPr>
          <w:fldChar w:fldCharType="begin"/>
        </w:r>
        <w:r w:rsidR="0094600B" w:rsidRPr="0094600B">
          <w:rPr>
            <w:rFonts w:ascii="Arial" w:hAnsi="Arial" w:cs="Arial"/>
          </w:rPr>
          <w:instrText xml:space="preserve"> PAGE   \* MERGEFORMAT </w:instrText>
        </w:r>
        <w:r w:rsidRPr="0094600B">
          <w:rPr>
            <w:rFonts w:ascii="Arial" w:hAnsi="Arial" w:cs="Arial"/>
          </w:rPr>
          <w:fldChar w:fldCharType="separate"/>
        </w:r>
        <w:r w:rsidR="00780E4C">
          <w:rPr>
            <w:rFonts w:ascii="Arial" w:hAnsi="Arial" w:cs="Arial"/>
            <w:noProof/>
          </w:rPr>
          <w:t>2</w:t>
        </w:r>
        <w:r w:rsidRPr="0094600B">
          <w:rPr>
            <w:rFonts w:ascii="Arial" w:hAnsi="Arial" w:cs="Arial"/>
          </w:rPr>
          <w:fldChar w:fldCharType="end"/>
        </w:r>
      </w:p>
    </w:sdtContent>
  </w:sdt>
  <w:p w:rsidR="0094600B" w:rsidRDefault="0094600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5861"/>
      <w:docPartObj>
        <w:docPartGallery w:val="Page Numbers (Bottom of Page)"/>
        <w:docPartUnique/>
      </w:docPartObj>
    </w:sdtPr>
    <w:sdtContent>
      <w:p w:rsidR="001E6E75" w:rsidRDefault="00BD6CF9">
        <w:pPr>
          <w:pStyle w:val="Zpat"/>
          <w:jc w:val="center"/>
        </w:pPr>
        <w:fldSimple w:instr=" PAGE   \* MERGEFORMAT ">
          <w:r w:rsidR="00780E4C">
            <w:rPr>
              <w:noProof/>
            </w:rPr>
            <w:t>1</w:t>
          </w:r>
        </w:fldSimple>
      </w:p>
    </w:sdtContent>
  </w:sdt>
  <w:p w:rsidR="001E6E75" w:rsidRDefault="001E6E7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B63" w:rsidRDefault="00550B63" w:rsidP="00A86B2C">
      <w:pPr>
        <w:spacing w:after="0" w:line="240" w:lineRule="auto"/>
      </w:pPr>
      <w:r>
        <w:separator/>
      </w:r>
    </w:p>
  </w:footnote>
  <w:footnote w:type="continuationSeparator" w:id="0">
    <w:p w:rsidR="00550B63" w:rsidRDefault="00550B63" w:rsidP="00A86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05" w:rsidRDefault="0094600B" w:rsidP="00932305">
    <w:pPr>
      <w:pStyle w:val="Zhlav"/>
      <w:tabs>
        <w:tab w:val="clear" w:pos="4536"/>
        <w:tab w:val="clear" w:pos="9072"/>
      </w:tabs>
      <w:jc w:val="center"/>
    </w:pPr>
    <w:r w:rsidRPr="0094600B">
      <w:rPr>
        <w:noProof/>
        <w:lang w:eastAsia="cs-CZ"/>
      </w:rPr>
      <w:drawing>
        <wp:inline distT="0" distB="0" distL="0" distR="0">
          <wp:extent cx="2695575" cy="695325"/>
          <wp:effectExtent l="19050" t="0" r="9525" b="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94986" cy="6951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0690B2A"/>
    <w:multiLevelType w:val="hybridMultilevel"/>
    <w:tmpl w:val="FB603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030F5B"/>
    <w:rsid w:val="00006BAA"/>
    <w:rsid w:val="0000748C"/>
    <w:rsid w:val="00012E04"/>
    <w:rsid w:val="00025760"/>
    <w:rsid w:val="00030F5B"/>
    <w:rsid w:val="000511ED"/>
    <w:rsid w:val="00085B92"/>
    <w:rsid w:val="000B1A25"/>
    <w:rsid w:val="000B5F11"/>
    <w:rsid w:val="000D0F58"/>
    <w:rsid w:val="000D1F31"/>
    <w:rsid w:val="000F41AA"/>
    <w:rsid w:val="00102933"/>
    <w:rsid w:val="00107BF2"/>
    <w:rsid w:val="0011347F"/>
    <w:rsid w:val="0012401D"/>
    <w:rsid w:val="00137778"/>
    <w:rsid w:val="00141AAA"/>
    <w:rsid w:val="0016691A"/>
    <w:rsid w:val="00170158"/>
    <w:rsid w:val="00174114"/>
    <w:rsid w:val="00175087"/>
    <w:rsid w:val="00193D68"/>
    <w:rsid w:val="00195800"/>
    <w:rsid w:val="001B5C83"/>
    <w:rsid w:val="001C1A49"/>
    <w:rsid w:val="001D64A0"/>
    <w:rsid w:val="001E276E"/>
    <w:rsid w:val="001E6E75"/>
    <w:rsid w:val="001F4636"/>
    <w:rsid w:val="00200A26"/>
    <w:rsid w:val="00203C55"/>
    <w:rsid w:val="0021247B"/>
    <w:rsid w:val="0022013D"/>
    <w:rsid w:val="0022348D"/>
    <w:rsid w:val="00223516"/>
    <w:rsid w:val="00241F59"/>
    <w:rsid w:val="00244811"/>
    <w:rsid w:val="002515A5"/>
    <w:rsid w:val="00263AFD"/>
    <w:rsid w:val="00272458"/>
    <w:rsid w:val="00276473"/>
    <w:rsid w:val="00277DFF"/>
    <w:rsid w:val="002B3746"/>
    <w:rsid w:val="002B4777"/>
    <w:rsid w:val="002C47A4"/>
    <w:rsid w:val="002D157C"/>
    <w:rsid w:val="002F2828"/>
    <w:rsid w:val="002F792F"/>
    <w:rsid w:val="002F7F88"/>
    <w:rsid w:val="003007BF"/>
    <w:rsid w:val="00302F26"/>
    <w:rsid w:val="0030729E"/>
    <w:rsid w:val="0032279B"/>
    <w:rsid w:val="00324F39"/>
    <w:rsid w:val="00335497"/>
    <w:rsid w:val="0035233A"/>
    <w:rsid w:val="00355FA5"/>
    <w:rsid w:val="00356B06"/>
    <w:rsid w:val="00376877"/>
    <w:rsid w:val="00381EA0"/>
    <w:rsid w:val="00383044"/>
    <w:rsid w:val="00384901"/>
    <w:rsid w:val="00385822"/>
    <w:rsid w:val="003A2D75"/>
    <w:rsid w:val="003B2C01"/>
    <w:rsid w:val="003C30A6"/>
    <w:rsid w:val="003D2DAA"/>
    <w:rsid w:val="003D4B2D"/>
    <w:rsid w:val="003E26AC"/>
    <w:rsid w:val="00402E21"/>
    <w:rsid w:val="004238B4"/>
    <w:rsid w:val="00424B3C"/>
    <w:rsid w:val="004325EC"/>
    <w:rsid w:val="004471FB"/>
    <w:rsid w:val="00452065"/>
    <w:rsid w:val="004660D4"/>
    <w:rsid w:val="00466B3E"/>
    <w:rsid w:val="00472A4D"/>
    <w:rsid w:val="0048475A"/>
    <w:rsid w:val="00493533"/>
    <w:rsid w:val="004A15F9"/>
    <w:rsid w:val="004C5DBF"/>
    <w:rsid w:val="004D301D"/>
    <w:rsid w:val="004D549F"/>
    <w:rsid w:val="004D5CCD"/>
    <w:rsid w:val="004D5F6E"/>
    <w:rsid w:val="004F6633"/>
    <w:rsid w:val="00503560"/>
    <w:rsid w:val="0050466E"/>
    <w:rsid w:val="00505FE1"/>
    <w:rsid w:val="0051212C"/>
    <w:rsid w:val="00524378"/>
    <w:rsid w:val="005247FC"/>
    <w:rsid w:val="005315DB"/>
    <w:rsid w:val="005331F6"/>
    <w:rsid w:val="00535CAD"/>
    <w:rsid w:val="005407D9"/>
    <w:rsid w:val="00550B63"/>
    <w:rsid w:val="00552556"/>
    <w:rsid w:val="005664DD"/>
    <w:rsid w:val="00590286"/>
    <w:rsid w:val="00595359"/>
    <w:rsid w:val="005B1309"/>
    <w:rsid w:val="005C70D0"/>
    <w:rsid w:val="005D2008"/>
    <w:rsid w:val="005F14D3"/>
    <w:rsid w:val="005F2AE6"/>
    <w:rsid w:val="00625139"/>
    <w:rsid w:val="00637D0D"/>
    <w:rsid w:val="00644042"/>
    <w:rsid w:val="006552C7"/>
    <w:rsid w:val="006553C6"/>
    <w:rsid w:val="00663593"/>
    <w:rsid w:val="00664ADC"/>
    <w:rsid w:val="00674FEE"/>
    <w:rsid w:val="00691289"/>
    <w:rsid w:val="006918A3"/>
    <w:rsid w:val="00693962"/>
    <w:rsid w:val="006A4E50"/>
    <w:rsid w:val="006B71E4"/>
    <w:rsid w:val="006C15C3"/>
    <w:rsid w:val="006C7CE9"/>
    <w:rsid w:val="006E3431"/>
    <w:rsid w:val="006E3A8F"/>
    <w:rsid w:val="006E6BDD"/>
    <w:rsid w:val="007069C5"/>
    <w:rsid w:val="007335B6"/>
    <w:rsid w:val="00737CDD"/>
    <w:rsid w:val="00763843"/>
    <w:rsid w:val="00765878"/>
    <w:rsid w:val="007718A5"/>
    <w:rsid w:val="0077211F"/>
    <w:rsid w:val="00777AF7"/>
    <w:rsid w:val="00780E4C"/>
    <w:rsid w:val="0078571A"/>
    <w:rsid w:val="007A23E8"/>
    <w:rsid w:val="007C2905"/>
    <w:rsid w:val="007C5027"/>
    <w:rsid w:val="007E58AF"/>
    <w:rsid w:val="007E6A5E"/>
    <w:rsid w:val="007F2972"/>
    <w:rsid w:val="00801F4D"/>
    <w:rsid w:val="00804FD3"/>
    <w:rsid w:val="00812582"/>
    <w:rsid w:val="0081645A"/>
    <w:rsid w:val="00830443"/>
    <w:rsid w:val="00834616"/>
    <w:rsid w:val="00837558"/>
    <w:rsid w:val="00840766"/>
    <w:rsid w:val="00843062"/>
    <w:rsid w:val="00844545"/>
    <w:rsid w:val="0085074D"/>
    <w:rsid w:val="00867D97"/>
    <w:rsid w:val="00873A04"/>
    <w:rsid w:val="008850DC"/>
    <w:rsid w:val="0088623C"/>
    <w:rsid w:val="00887BEF"/>
    <w:rsid w:val="00892879"/>
    <w:rsid w:val="008A52AE"/>
    <w:rsid w:val="008A7698"/>
    <w:rsid w:val="008B541F"/>
    <w:rsid w:val="008B7066"/>
    <w:rsid w:val="008C419B"/>
    <w:rsid w:val="008C4EA6"/>
    <w:rsid w:val="008C6506"/>
    <w:rsid w:val="008D27E7"/>
    <w:rsid w:val="008E140E"/>
    <w:rsid w:val="008E6653"/>
    <w:rsid w:val="008F1D8D"/>
    <w:rsid w:val="0091259A"/>
    <w:rsid w:val="00914F06"/>
    <w:rsid w:val="00930717"/>
    <w:rsid w:val="00932305"/>
    <w:rsid w:val="00934F0B"/>
    <w:rsid w:val="009413A5"/>
    <w:rsid w:val="0094600B"/>
    <w:rsid w:val="00950081"/>
    <w:rsid w:val="00970CB3"/>
    <w:rsid w:val="009A08CE"/>
    <w:rsid w:val="009A5261"/>
    <w:rsid w:val="009B3460"/>
    <w:rsid w:val="009C26A1"/>
    <w:rsid w:val="009C28C1"/>
    <w:rsid w:val="009C2BCB"/>
    <w:rsid w:val="009E7292"/>
    <w:rsid w:val="009F3548"/>
    <w:rsid w:val="00A0284F"/>
    <w:rsid w:val="00A1434A"/>
    <w:rsid w:val="00A34B67"/>
    <w:rsid w:val="00A4194F"/>
    <w:rsid w:val="00A45A4F"/>
    <w:rsid w:val="00A57749"/>
    <w:rsid w:val="00A634A4"/>
    <w:rsid w:val="00A71D71"/>
    <w:rsid w:val="00A73457"/>
    <w:rsid w:val="00A86B2C"/>
    <w:rsid w:val="00A959D6"/>
    <w:rsid w:val="00A95D1D"/>
    <w:rsid w:val="00AA2DB3"/>
    <w:rsid w:val="00AC23C2"/>
    <w:rsid w:val="00AC3D97"/>
    <w:rsid w:val="00AC6BB7"/>
    <w:rsid w:val="00AD4F46"/>
    <w:rsid w:val="00AF79DF"/>
    <w:rsid w:val="00B01203"/>
    <w:rsid w:val="00B02E34"/>
    <w:rsid w:val="00B0614E"/>
    <w:rsid w:val="00B117A3"/>
    <w:rsid w:val="00B2186C"/>
    <w:rsid w:val="00B40EC9"/>
    <w:rsid w:val="00B427F3"/>
    <w:rsid w:val="00B450FE"/>
    <w:rsid w:val="00B4719E"/>
    <w:rsid w:val="00B74108"/>
    <w:rsid w:val="00B76AE6"/>
    <w:rsid w:val="00B91E54"/>
    <w:rsid w:val="00BA05C8"/>
    <w:rsid w:val="00BC4F10"/>
    <w:rsid w:val="00BC50CC"/>
    <w:rsid w:val="00BC60AE"/>
    <w:rsid w:val="00BD6CF9"/>
    <w:rsid w:val="00BF39D5"/>
    <w:rsid w:val="00BF3D18"/>
    <w:rsid w:val="00BF710E"/>
    <w:rsid w:val="00C002C0"/>
    <w:rsid w:val="00C058BB"/>
    <w:rsid w:val="00C11A1A"/>
    <w:rsid w:val="00C16795"/>
    <w:rsid w:val="00C23AC1"/>
    <w:rsid w:val="00C3752E"/>
    <w:rsid w:val="00C82487"/>
    <w:rsid w:val="00C83C6D"/>
    <w:rsid w:val="00CC3EA9"/>
    <w:rsid w:val="00CD73C6"/>
    <w:rsid w:val="00CE183C"/>
    <w:rsid w:val="00CE217F"/>
    <w:rsid w:val="00CE2836"/>
    <w:rsid w:val="00CE32C4"/>
    <w:rsid w:val="00CE3C39"/>
    <w:rsid w:val="00D0121E"/>
    <w:rsid w:val="00D07876"/>
    <w:rsid w:val="00D1207D"/>
    <w:rsid w:val="00D23F90"/>
    <w:rsid w:val="00D319EE"/>
    <w:rsid w:val="00D35F2A"/>
    <w:rsid w:val="00D43346"/>
    <w:rsid w:val="00D52F52"/>
    <w:rsid w:val="00D90598"/>
    <w:rsid w:val="00D9473B"/>
    <w:rsid w:val="00DA1C38"/>
    <w:rsid w:val="00DA34A5"/>
    <w:rsid w:val="00DC3EB8"/>
    <w:rsid w:val="00DD13AB"/>
    <w:rsid w:val="00DD3281"/>
    <w:rsid w:val="00DD7629"/>
    <w:rsid w:val="00DE3A9D"/>
    <w:rsid w:val="00DE762E"/>
    <w:rsid w:val="00DF26BF"/>
    <w:rsid w:val="00E01DF3"/>
    <w:rsid w:val="00E02E9C"/>
    <w:rsid w:val="00E15B76"/>
    <w:rsid w:val="00E26016"/>
    <w:rsid w:val="00E369ED"/>
    <w:rsid w:val="00E37BEA"/>
    <w:rsid w:val="00E60188"/>
    <w:rsid w:val="00E710D4"/>
    <w:rsid w:val="00E76256"/>
    <w:rsid w:val="00E85070"/>
    <w:rsid w:val="00EA46ED"/>
    <w:rsid w:val="00EB0B12"/>
    <w:rsid w:val="00EB5907"/>
    <w:rsid w:val="00EC4FD0"/>
    <w:rsid w:val="00EE4F03"/>
    <w:rsid w:val="00F0032A"/>
    <w:rsid w:val="00F1590F"/>
    <w:rsid w:val="00F374FE"/>
    <w:rsid w:val="00F5459D"/>
    <w:rsid w:val="00F75A3B"/>
    <w:rsid w:val="00F777FD"/>
    <w:rsid w:val="00F808DE"/>
    <w:rsid w:val="00F81FF5"/>
    <w:rsid w:val="00F8534C"/>
    <w:rsid w:val="00F85720"/>
    <w:rsid w:val="00F94583"/>
    <w:rsid w:val="00FC5C2D"/>
    <w:rsid w:val="00FC6417"/>
    <w:rsid w:val="00FD0B1A"/>
    <w:rsid w:val="00FD12D2"/>
    <w:rsid w:val="00FD34FC"/>
    <w:rsid w:val="00FE52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character" w:styleId="Hypertextovodkaz">
    <w:name w:val="Hyperlink"/>
    <w:basedOn w:val="Standardnpsmoodstavce"/>
    <w:uiPriority w:val="99"/>
    <w:unhideWhenUsed/>
    <w:rsid w:val="00A86B2C"/>
    <w:rPr>
      <w:color w:val="0000FF" w:themeColor="hyperlink"/>
      <w:u w:val="single"/>
    </w:rPr>
  </w:style>
  <w:style w:type="paragraph" w:styleId="Zhlav">
    <w:name w:val="header"/>
    <w:basedOn w:val="Normln"/>
    <w:link w:val="ZhlavChar"/>
    <w:uiPriority w:val="99"/>
    <w:semiHidden/>
    <w:unhideWhenUsed/>
    <w:rsid w:val="00A86B2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86B2C"/>
  </w:style>
  <w:style w:type="paragraph" w:styleId="Zpat">
    <w:name w:val="footer"/>
    <w:basedOn w:val="Normln"/>
    <w:link w:val="ZpatChar"/>
    <w:uiPriority w:val="99"/>
    <w:unhideWhenUsed/>
    <w:rsid w:val="00A86B2C"/>
    <w:pPr>
      <w:tabs>
        <w:tab w:val="center" w:pos="4536"/>
        <w:tab w:val="right" w:pos="9072"/>
      </w:tabs>
      <w:spacing w:after="0" w:line="240" w:lineRule="auto"/>
    </w:pPr>
  </w:style>
  <w:style w:type="character" w:customStyle="1" w:styleId="ZpatChar">
    <w:name w:val="Zápatí Char"/>
    <w:basedOn w:val="Standardnpsmoodstavce"/>
    <w:link w:val="Zpat"/>
    <w:uiPriority w:val="99"/>
    <w:rsid w:val="00A86B2C"/>
  </w:style>
  <w:style w:type="paragraph" w:styleId="Textbubliny">
    <w:name w:val="Balloon Text"/>
    <w:basedOn w:val="Normln"/>
    <w:link w:val="TextbublinyChar"/>
    <w:uiPriority w:val="99"/>
    <w:semiHidden/>
    <w:unhideWhenUsed/>
    <w:rsid w:val="00A86B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6B2C"/>
    <w:rPr>
      <w:rFonts w:ascii="Tahoma" w:hAnsi="Tahoma" w:cs="Tahoma"/>
      <w:sz w:val="16"/>
      <w:szCs w:val="16"/>
    </w:rPr>
  </w:style>
  <w:style w:type="paragraph" w:styleId="Textpoznpodarou">
    <w:name w:val="footnote text"/>
    <w:basedOn w:val="Normln"/>
    <w:link w:val="TextpoznpodarouChar"/>
    <w:uiPriority w:val="99"/>
    <w:semiHidden/>
    <w:unhideWhenUsed/>
    <w:rsid w:val="0076587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65878"/>
    <w:rPr>
      <w:sz w:val="20"/>
      <w:szCs w:val="20"/>
    </w:rPr>
  </w:style>
  <w:style w:type="character" w:styleId="Znakapoznpodarou">
    <w:name w:val="footnote reference"/>
    <w:basedOn w:val="Standardnpsmoodstavce"/>
    <w:uiPriority w:val="99"/>
    <w:semiHidden/>
    <w:unhideWhenUsed/>
    <w:rsid w:val="00765878"/>
    <w:rPr>
      <w:vertAlign w:val="superscript"/>
    </w:rPr>
  </w:style>
  <w:style w:type="character" w:styleId="Odkaznakoment">
    <w:name w:val="annotation reference"/>
    <w:basedOn w:val="Standardnpsmoodstavce"/>
    <w:uiPriority w:val="99"/>
    <w:semiHidden/>
    <w:unhideWhenUsed/>
    <w:rsid w:val="009E7292"/>
    <w:rPr>
      <w:sz w:val="16"/>
      <w:szCs w:val="16"/>
    </w:rPr>
  </w:style>
  <w:style w:type="paragraph" w:styleId="Textkomente">
    <w:name w:val="annotation text"/>
    <w:basedOn w:val="Normln"/>
    <w:link w:val="TextkomenteChar"/>
    <w:uiPriority w:val="99"/>
    <w:semiHidden/>
    <w:unhideWhenUsed/>
    <w:rsid w:val="009E7292"/>
    <w:pPr>
      <w:spacing w:line="240" w:lineRule="auto"/>
    </w:pPr>
    <w:rPr>
      <w:sz w:val="20"/>
      <w:szCs w:val="20"/>
    </w:rPr>
  </w:style>
  <w:style w:type="character" w:customStyle="1" w:styleId="TextkomenteChar">
    <w:name w:val="Text komentáře Char"/>
    <w:basedOn w:val="Standardnpsmoodstavce"/>
    <w:link w:val="Textkomente"/>
    <w:uiPriority w:val="99"/>
    <w:semiHidden/>
    <w:rsid w:val="009E7292"/>
    <w:rPr>
      <w:sz w:val="20"/>
      <w:szCs w:val="20"/>
    </w:rPr>
  </w:style>
  <w:style w:type="paragraph" w:styleId="Pedmtkomente">
    <w:name w:val="annotation subject"/>
    <w:basedOn w:val="Textkomente"/>
    <w:next w:val="Textkomente"/>
    <w:link w:val="PedmtkomenteChar"/>
    <w:uiPriority w:val="99"/>
    <w:semiHidden/>
    <w:unhideWhenUsed/>
    <w:rsid w:val="009E7292"/>
    <w:rPr>
      <w:b/>
      <w:bCs/>
    </w:rPr>
  </w:style>
  <w:style w:type="character" w:customStyle="1" w:styleId="PedmtkomenteChar">
    <w:name w:val="Předmět komentáře Char"/>
    <w:basedOn w:val="TextkomenteChar"/>
    <w:link w:val="Pedmtkomente"/>
    <w:uiPriority w:val="99"/>
    <w:semiHidden/>
    <w:rsid w:val="009E7292"/>
    <w:rPr>
      <w:b/>
      <w:bCs/>
      <w:sz w:val="20"/>
      <w:szCs w:val="20"/>
    </w:rPr>
  </w:style>
  <w:style w:type="paragraph" w:styleId="Revize">
    <w:name w:val="Revision"/>
    <w:hidden/>
    <w:uiPriority w:val="99"/>
    <w:semiHidden/>
    <w:rsid w:val="0050466E"/>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1457616">
      <w:bodyDiv w:val="1"/>
      <w:marLeft w:val="0"/>
      <w:marRight w:val="0"/>
      <w:marTop w:val="0"/>
      <w:marBottom w:val="0"/>
      <w:divBdr>
        <w:top w:val="none" w:sz="0" w:space="0" w:color="auto"/>
        <w:left w:val="none" w:sz="0" w:space="0" w:color="auto"/>
        <w:bottom w:val="none" w:sz="0" w:space="0" w:color="auto"/>
        <w:right w:val="none" w:sz="0" w:space="0" w:color="auto"/>
      </w:divBdr>
    </w:div>
    <w:div w:id="1611471007">
      <w:bodyDiv w:val="1"/>
      <w:marLeft w:val="0"/>
      <w:marRight w:val="0"/>
      <w:marTop w:val="0"/>
      <w:marBottom w:val="0"/>
      <w:divBdr>
        <w:top w:val="none" w:sz="0" w:space="0" w:color="auto"/>
        <w:left w:val="none" w:sz="0" w:space="0" w:color="auto"/>
        <w:bottom w:val="none" w:sz="0" w:space="0" w:color="auto"/>
        <w:right w:val="none" w:sz="0" w:space="0" w:color="auto"/>
      </w:divBdr>
    </w:div>
    <w:div w:id="17519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pecanek@cgoa.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499/2006%20Sb.%2523'&amp;ucin-k-dni='30.12.99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spi://module='ASPI'&amp;link='499/2006%20Sb.%2523'&amp;ucin-k-dni='30.12.9999'" TargetMode="External"/><Relationship Id="rId4" Type="http://schemas.openxmlformats.org/officeDocument/2006/relationships/settings" Target="settings.xml"/><Relationship Id="rId9" Type="http://schemas.openxmlformats.org/officeDocument/2006/relationships/hyperlink" Target="mailto:frantisek.fejgl@innogy.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925E-A687-47DB-82A3-5F3ACAF0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2830</Words>
  <Characters>16697</Characters>
  <Application>Microsoft Office Word</Application>
  <DocSecurity>0</DocSecurity>
  <Lines>139</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HKCR</Company>
  <LinksUpToDate>false</LinksUpToDate>
  <CharactersWithSpaces>19489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9</cp:revision>
  <cp:lastPrinted>2016-09-12T11:57:00Z</cp:lastPrinted>
  <dcterms:created xsi:type="dcterms:W3CDTF">2017-07-31T11:45:00Z</dcterms:created>
  <dcterms:modified xsi:type="dcterms:W3CDTF">2017-07-31T12:49:00Z</dcterms:modified>
</cp:coreProperties>
</file>