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9D" w:rsidRPr="00A031FB" w:rsidRDefault="006B3153" w:rsidP="00092A93">
      <w:pPr>
        <w:jc w:val="center"/>
      </w:pPr>
      <w:r w:rsidRPr="00A031FB">
        <w:rPr>
          <w:b/>
          <w:sz w:val="28"/>
          <w:szCs w:val="28"/>
        </w:rPr>
        <w:t xml:space="preserve">Připomínky </w:t>
      </w:r>
      <w:r w:rsidR="000F6F3F" w:rsidRPr="00A031FB">
        <w:rPr>
          <w:b/>
          <w:sz w:val="28"/>
          <w:szCs w:val="28"/>
        </w:rPr>
        <w:t>Českého plynárenského svazu</w:t>
      </w:r>
      <w:r w:rsidR="006502B4" w:rsidRPr="00A031FB">
        <w:rPr>
          <w:b/>
          <w:sz w:val="28"/>
          <w:szCs w:val="28"/>
        </w:rPr>
        <w:t xml:space="preserve"> k </w:t>
      </w:r>
      <w:r w:rsidR="000F6F3F" w:rsidRPr="00A031FB">
        <w:rPr>
          <w:b/>
          <w:sz w:val="28"/>
          <w:szCs w:val="28"/>
        </w:rPr>
        <w:t>návrhu novely vyhlášky č.</w:t>
      </w:r>
      <w:r w:rsidR="00092A93" w:rsidRPr="00A031FB">
        <w:t> </w:t>
      </w:r>
      <w:r w:rsidR="000F6F3F" w:rsidRPr="00A031FB">
        <w:rPr>
          <w:b/>
          <w:sz w:val="28"/>
          <w:szCs w:val="28"/>
        </w:rPr>
        <w:t>70/2016 Sb., o vyúčtování dodávek a souvisejících služeb v energetických odvětvích</w:t>
      </w:r>
      <w:r w:rsidR="00E82010" w:rsidRPr="00A031FB">
        <w:rPr>
          <w:b/>
          <w:sz w:val="28"/>
          <w:szCs w:val="28"/>
        </w:rPr>
        <w:t xml:space="preserve"> (dále jen „vyhláška o vyúčtování“)</w:t>
      </w:r>
      <w:r w:rsidR="005708F1" w:rsidRPr="00A031FB">
        <w:rPr>
          <w:b/>
          <w:sz w:val="28"/>
          <w:szCs w:val="28"/>
        </w:rPr>
        <w:t xml:space="preserve"> – konzultační proces ERÚ</w:t>
      </w:r>
    </w:p>
    <w:p w:rsidR="004E0287" w:rsidRPr="00A031FB" w:rsidRDefault="004E0287" w:rsidP="004E028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6B3153" w:rsidRPr="00A031FB" w:rsidRDefault="000C313D" w:rsidP="00A031FB">
      <w:pPr>
        <w:pStyle w:val="Default"/>
        <w:keepNext/>
        <w:numPr>
          <w:ilvl w:val="0"/>
          <w:numId w:val="1"/>
        </w:numPr>
        <w:spacing w:after="120"/>
        <w:ind w:left="284" w:hanging="284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A031FB">
        <w:rPr>
          <w:rFonts w:asciiTheme="minorHAnsi" w:hAnsiTheme="minorHAnsi"/>
          <w:b/>
          <w:color w:val="auto"/>
          <w:sz w:val="22"/>
          <w:szCs w:val="22"/>
          <w:u w:val="single"/>
        </w:rPr>
        <w:t>Obecné p</w:t>
      </w:r>
      <w:r w:rsidR="006B3153" w:rsidRPr="00A031FB">
        <w:rPr>
          <w:rFonts w:asciiTheme="minorHAnsi" w:hAnsiTheme="minorHAnsi"/>
          <w:b/>
          <w:color w:val="auto"/>
          <w:sz w:val="22"/>
          <w:szCs w:val="22"/>
          <w:u w:val="single"/>
        </w:rPr>
        <w:t>řipomínky</w:t>
      </w:r>
      <w:r w:rsidR="00F47DEA" w:rsidRPr="00A031FB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k návrhu novely vyhlášky o vyúčtování</w:t>
      </w:r>
    </w:p>
    <w:p w:rsidR="000C313D" w:rsidRPr="00A031FB" w:rsidRDefault="006D45EB" w:rsidP="000C313D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 xml:space="preserve">Oceňujeme </w:t>
      </w:r>
      <w:r w:rsidR="00100BFD" w:rsidRPr="00A031FB">
        <w:rPr>
          <w:rFonts w:asciiTheme="minorHAnsi" w:hAnsiTheme="minorHAnsi"/>
          <w:color w:val="auto"/>
          <w:sz w:val="22"/>
          <w:szCs w:val="22"/>
        </w:rPr>
        <w:t xml:space="preserve">volbu ERÚ řešit 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 xml:space="preserve">případné </w:t>
      </w:r>
      <w:r w:rsidR="00100BFD" w:rsidRPr="00A031FB">
        <w:rPr>
          <w:rFonts w:asciiTheme="minorHAnsi" w:hAnsiTheme="minorHAnsi"/>
          <w:color w:val="auto"/>
          <w:sz w:val="22"/>
          <w:szCs w:val="22"/>
        </w:rPr>
        <w:t>problémy</w:t>
      </w:r>
      <w:r w:rsidR="005708F1" w:rsidRPr="00A031FB">
        <w:rPr>
          <w:rFonts w:asciiTheme="minorHAnsi" w:hAnsiTheme="minorHAnsi"/>
          <w:color w:val="auto"/>
          <w:sz w:val="22"/>
          <w:szCs w:val="22"/>
        </w:rPr>
        <w:t xml:space="preserve">, vyskytnuvší se </w:t>
      </w:r>
      <w:r w:rsidR="00100BFD" w:rsidRPr="00A031FB">
        <w:rPr>
          <w:rFonts w:asciiTheme="minorHAnsi" w:hAnsiTheme="minorHAnsi"/>
          <w:color w:val="auto"/>
          <w:sz w:val="22"/>
          <w:szCs w:val="22"/>
        </w:rPr>
        <w:t>v souvislosti s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> informovaností zákazníků</w:t>
      </w:r>
      <w:r w:rsidR="00A031FB" w:rsidRPr="00A031FB">
        <w:rPr>
          <w:rFonts w:asciiTheme="minorHAnsi" w:hAnsiTheme="minorHAnsi"/>
          <w:color w:val="auto"/>
          <w:sz w:val="22"/>
          <w:szCs w:val="22"/>
        </w:rPr>
        <w:t>,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00BFD" w:rsidRPr="00A031FB">
        <w:rPr>
          <w:rFonts w:asciiTheme="minorHAnsi" w:hAnsiTheme="minorHAnsi"/>
          <w:color w:val="auto"/>
          <w:sz w:val="22"/>
          <w:szCs w:val="22"/>
        </w:rPr>
        <w:t>formou právního předpisu, nikoliv pouze prostřednictvím aktualizace Etického kodexu obchodníka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>.</w:t>
      </w:r>
      <w:r w:rsidR="00100BFD" w:rsidRPr="00A031F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>N</w:t>
      </w:r>
      <w:r w:rsidR="00100BFD" w:rsidRPr="00A031FB">
        <w:rPr>
          <w:rFonts w:asciiTheme="minorHAnsi" w:hAnsiTheme="minorHAnsi"/>
          <w:color w:val="auto"/>
          <w:sz w:val="22"/>
          <w:szCs w:val="22"/>
        </w:rPr>
        <w:t>icméně jsme nuceni poukázat na to, že n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 xml:space="preserve">avrhované změny jdou 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 xml:space="preserve">poněkud 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 xml:space="preserve">nad rámec </w:t>
      </w:r>
      <w:r w:rsidR="00100BFD" w:rsidRPr="00A031FB">
        <w:rPr>
          <w:rFonts w:asciiTheme="minorHAnsi" w:hAnsiTheme="minorHAnsi"/>
          <w:color w:val="auto"/>
          <w:sz w:val="22"/>
          <w:szCs w:val="22"/>
        </w:rPr>
        <w:t>energetického zákona (dále jen „</w:t>
      </w:r>
      <w:proofErr w:type="spellStart"/>
      <w:r w:rsidR="000C313D" w:rsidRPr="00A031FB">
        <w:rPr>
          <w:rFonts w:asciiTheme="minorHAnsi" w:hAnsiTheme="minorHAnsi"/>
          <w:color w:val="auto"/>
          <w:sz w:val="22"/>
          <w:szCs w:val="22"/>
        </w:rPr>
        <w:t>EZ</w:t>
      </w:r>
      <w:proofErr w:type="spellEnd"/>
      <w:r w:rsidR="00100BFD" w:rsidRPr="00A031FB">
        <w:rPr>
          <w:rFonts w:asciiTheme="minorHAnsi" w:hAnsiTheme="minorHAnsi"/>
          <w:color w:val="auto"/>
          <w:sz w:val="22"/>
          <w:szCs w:val="22"/>
        </w:rPr>
        <w:t>“)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 xml:space="preserve">zejména pak 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>zmocňovací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>ho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 xml:space="preserve"> ustanovení § </w:t>
      </w:r>
      <w:proofErr w:type="spellStart"/>
      <w:r w:rsidR="000C313D" w:rsidRPr="00A031FB">
        <w:rPr>
          <w:rFonts w:asciiTheme="minorHAnsi" w:hAnsiTheme="minorHAnsi"/>
          <w:color w:val="auto"/>
          <w:sz w:val="22"/>
          <w:szCs w:val="22"/>
        </w:rPr>
        <w:t>98a</w:t>
      </w:r>
      <w:proofErr w:type="spellEnd"/>
      <w:r w:rsidR="000C313D" w:rsidRPr="00A031FB">
        <w:rPr>
          <w:rFonts w:asciiTheme="minorHAnsi" w:hAnsiTheme="minorHAnsi"/>
          <w:color w:val="auto"/>
          <w:sz w:val="22"/>
          <w:szCs w:val="22"/>
        </w:rPr>
        <w:t xml:space="preserve"> odst. 2 písm. j)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>, které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 xml:space="preserve"> vyhrazuje úpravě </w:t>
      </w:r>
      <w:r w:rsidR="00053BD9" w:rsidRPr="00A031FB">
        <w:rPr>
          <w:rFonts w:asciiTheme="minorHAnsi" w:hAnsiTheme="minorHAnsi"/>
          <w:color w:val="auto"/>
          <w:sz w:val="22"/>
          <w:szCs w:val="22"/>
        </w:rPr>
        <w:t xml:space="preserve">příslušného 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>podzákonné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>ho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 xml:space="preserve"> předpisu pouze stanovení rozsahu, náležitostí a termínů vyúčtování</w:t>
      </w:r>
      <w:r w:rsidR="0025404C" w:rsidRPr="00A031FB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51625A" w:rsidRPr="00A031FB">
        <w:rPr>
          <w:rFonts w:asciiTheme="minorHAnsi" w:hAnsiTheme="minorHAnsi"/>
          <w:color w:val="auto"/>
          <w:sz w:val="22"/>
          <w:szCs w:val="22"/>
        </w:rPr>
        <w:t xml:space="preserve">Doplnění 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>navrhovan</w:t>
      </w:r>
      <w:r w:rsidR="0051625A" w:rsidRPr="00A031FB">
        <w:rPr>
          <w:rFonts w:asciiTheme="minorHAnsi" w:hAnsiTheme="minorHAnsi"/>
          <w:color w:val="auto"/>
          <w:sz w:val="22"/>
          <w:szCs w:val="22"/>
        </w:rPr>
        <w:t>ých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 xml:space="preserve"> údaj</w:t>
      </w:r>
      <w:r w:rsidR="0051625A" w:rsidRPr="00A031FB">
        <w:rPr>
          <w:rFonts w:asciiTheme="minorHAnsi" w:hAnsiTheme="minorHAnsi"/>
          <w:color w:val="auto"/>
          <w:sz w:val="22"/>
          <w:szCs w:val="22"/>
        </w:rPr>
        <w:t>ů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A42A4" w:rsidRPr="00A031FB">
        <w:rPr>
          <w:rFonts w:asciiTheme="minorHAnsi" w:hAnsiTheme="minorHAnsi"/>
          <w:color w:val="auto"/>
          <w:sz w:val="22"/>
          <w:szCs w:val="22"/>
        </w:rPr>
        <w:t xml:space="preserve">však 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 xml:space="preserve">s vyúčtováním dodávek elektřiny či plynu nesouvisí. </w:t>
      </w:r>
      <w:r w:rsidR="0051625A" w:rsidRPr="00A031FB">
        <w:rPr>
          <w:rFonts w:asciiTheme="minorHAnsi" w:hAnsiTheme="minorHAnsi"/>
          <w:color w:val="auto"/>
          <w:sz w:val="22"/>
          <w:szCs w:val="22"/>
        </w:rPr>
        <w:t xml:space="preserve">V souvislosti se sdělováním </w:t>
      </w:r>
      <w:r w:rsidR="00053BD9" w:rsidRPr="00A031FB">
        <w:rPr>
          <w:rFonts w:asciiTheme="minorHAnsi" w:hAnsiTheme="minorHAnsi"/>
          <w:color w:val="auto"/>
          <w:sz w:val="22"/>
          <w:szCs w:val="22"/>
        </w:rPr>
        <w:t>obdobných</w:t>
      </w:r>
      <w:r w:rsidR="0051625A" w:rsidRPr="00A031FB">
        <w:rPr>
          <w:rFonts w:asciiTheme="minorHAnsi" w:hAnsiTheme="minorHAnsi"/>
          <w:color w:val="auto"/>
          <w:sz w:val="22"/>
          <w:szCs w:val="22"/>
        </w:rPr>
        <w:t xml:space="preserve"> údajů zákazníkům</w:t>
      </w:r>
      <w:r w:rsidR="00053BD9" w:rsidRPr="00A031FB">
        <w:rPr>
          <w:rFonts w:asciiTheme="minorHAnsi" w:hAnsiTheme="minorHAnsi"/>
          <w:color w:val="auto"/>
          <w:sz w:val="22"/>
          <w:szCs w:val="22"/>
        </w:rPr>
        <w:t xml:space="preserve"> (a to v daleko užším rozsahu)</w:t>
      </w:r>
      <w:r w:rsidR="0051625A" w:rsidRPr="00A031FB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="0051625A" w:rsidRPr="00A031FB">
        <w:rPr>
          <w:rFonts w:asciiTheme="minorHAnsi" w:hAnsiTheme="minorHAnsi"/>
          <w:color w:val="auto"/>
          <w:sz w:val="22"/>
          <w:szCs w:val="22"/>
        </w:rPr>
        <w:t>EZ</w:t>
      </w:r>
      <w:proofErr w:type="spellEnd"/>
      <w:r w:rsidR="0051625A" w:rsidRPr="00A031FB">
        <w:rPr>
          <w:rFonts w:asciiTheme="minorHAnsi" w:hAnsiTheme="minorHAnsi"/>
          <w:color w:val="auto"/>
          <w:sz w:val="22"/>
          <w:szCs w:val="22"/>
        </w:rPr>
        <w:t xml:space="preserve"> obsahuje úpravu v § 30 odst. 2 písm. m) a § 61 odst. 2 písm. m), kde se však taktéž nepočítá s další dodatečnou podzákonnou úpravou</w:t>
      </w:r>
      <w:r w:rsidR="000C313D" w:rsidRPr="00A031FB">
        <w:rPr>
          <w:rFonts w:asciiTheme="minorHAnsi" w:hAnsiTheme="minorHAnsi"/>
          <w:color w:val="auto"/>
          <w:sz w:val="22"/>
          <w:szCs w:val="22"/>
        </w:rPr>
        <w:t>.</w:t>
      </w:r>
    </w:p>
    <w:p w:rsidR="000C313D" w:rsidRPr="00A031FB" w:rsidRDefault="000C313D" w:rsidP="000C313D">
      <w:pPr>
        <w:pStyle w:val="Default"/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Má-li proto dojít</w:t>
      </w:r>
      <w:r w:rsidRPr="00A031FB">
        <w:rPr>
          <w:rFonts w:asciiTheme="minorHAnsi" w:hAnsiTheme="minorHAnsi"/>
          <w:sz w:val="22"/>
          <w:szCs w:val="22"/>
        </w:rPr>
        <w:t xml:space="preserve"> k rozšíření údajů obsažených ve vyúčtování,</w:t>
      </w:r>
      <w:r w:rsidR="00053BD9" w:rsidRPr="00A031FB">
        <w:rPr>
          <w:rFonts w:asciiTheme="minorHAnsi" w:hAnsiTheme="minorHAnsi"/>
          <w:sz w:val="22"/>
          <w:szCs w:val="22"/>
        </w:rPr>
        <w:t xml:space="preserve"> tak jak jsou navrhována, bylo by nutné </w:t>
      </w:r>
      <w:r w:rsidRPr="00A031FB">
        <w:rPr>
          <w:rFonts w:asciiTheme="minorHAnsi" w:hAnsiTheme="minorHAnsi"/>
          <w:sz w:val="22"/>
          <w:szCs w:val="22"/>
        </w:rPr>
        <w:t>nejdřív</w:t>
      </w:r>
      <w:r w:rsidR="00A031FB" w:rsidRPr="00A031FB">
        <w:rPr>
          <w:rFonts w:asciiTheme="minorHAnsi" w:hAnsiTheme="minorHAnsi"/>
          <w:sz w:val="22"/>
          <w:szCs w:val="22"/>
        </w:rPr>
        <w:t>e</w:t>
      </w:r>
      <w:r w:rsidRPr="00A031FB">
        <w:rPr>
          <w:rFonts w:asciiTheme="minorHAnsi" w:hAnsiTheme="minorHAnsi"/>
          <w:sz w:val="22"/>
          <w:szCs w:val="22"/>
        </w:rPr>
        <w:t xml:space="preserve"> novelizovat příslušná zmocňovací ustanovení </w:t>
      </w:r>
      <w:proofErr w:type="spellStart"/>
      <w:r w:rsidRPr="00A031FB">
        <w:rPr>
          <w:rFonts w:asciiTheme="minorHAnsi" w:hAnsiTheme="minorHAnsi"/>
          <w:sz w:val="22"/>
          <w:szCs w:val="22"/>
        </w:rPr>
        <w:t>EZ</w:t>
      </w:r>
      <w:proofErr w:type="spellEnd"/>
      <w:r w:rsidRPr="00A031FB">
        <w:rPr>
          <w:rFonts w:asciiTheme="minorHAnsi" w:hAnsiTheme="minorHAnsi"/>
          <w:sz w:val="22"/>
          <w:szCs w:val="22"/>
        </w:rPr>
        <w:t xml:space="preserve"> tak, aby bylo možné na základě tohoto zmocnění následně provést no</w:t>
      </w:r>
      <w:r w:rsidR="00A031FB" w:rsidRPr="00A031FB">
        <w:rPr>
          <w:rFonts w:asciiTheme="minorHAnsi" w:hAnsiTheme="minorHAnsi"/>
          <w:sz w:val="22"/>
          <w:szCs w:val="22"/>
        </w:rPr>
        <w:t>velizaci vyhlášky o vyúčtování.</w:t>
      </w:r>
    </w:p>
    <w:p w:rsidR="000C313D" w:rsidRPr="00A031FB" w:rsidRDefault="009D1B8C" w:rsidP="00A031FB">
      <w:pPr>
        <w:keepNext/>
        <w:spacing w:before="120" w:after="120" w:line="276" w:lineRule="auto"/>
        <w:jc w:val="both"/>
      </w:pPr>
      <w:r w:rsidRPr="00A031FB">
        <w:t>Obecně (pokud má dojít k úpravě informační povinnosti) doporučujeme nejprve vyjasnit následující</w:t>
      </w:r>
      <w:r w:rsidR="000C313D" w:rsidRPr="00A031FB">
        <w:t>:</w:t>
      </w:r>
    </w:p>
    <w:p w:rsidR="00000000" w:rsidRPr="00A031FB" w:rsidRDefault="00087C8C" w:rsidP="00A031FB">
      <w:pPr>
        <w:pStyle w:val="Default"/>
        <w:numPr>
          <w:ilvl w:val="0"/>
          <w:numId w:val="9"/>
        </w:numPr>
        <w:spacing w:before="120" w:after="120" w:line="276" w:lineRule="auto"/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A031FB">
        <w:rPr>
          <w:rFonts w:asciiTheme="minorHAnsi" w:hAnsiTheme="minorHAnsi"/>
          <w:bCs/>
          <w:sz w:val="22"/>
          <w:szCs w:val="22"/>
        </w:rPr>
        <w:t>V prvé řadě najít jednotný způsob pro sdělování informací zákazníkovi a to zejména s ohledem na účelnost, četnost a srozumitelnost poskytovaných údajů s rozumným zásahem do informačních systémů používaných pro obsluhu zákazníků</w:t>
      </w:r>
      <w:r w:rsidR="0025404C" w:rsidRPr="00A031FB">
        <w:rPr>
          <w:rFonts w:asciiTheme="minorHAnsi" w:hAnsiTheme="minorHAnsi"/>
          <w:bCs/>
          <w:sz w:val="22"/>
          <w:szCs w:val="22"/>
        </w:rPr>
        <w:t>.</w:t>
      </w:r>
    </w:p>
    <w:p w:rsidR="00000000" w:rsidRPr="00A031FB" w:rsidRDefault="00087C8C" w:rsidP="00A031FB">
      <w:pPr>
        <w:pStyle w:val="Default"/>
        <w:numPr>
          <w:ilvl w:val="0"/>
          <w:numId w:val="9"/>
        </w:numPr>
        <w:spacing w:before="120" w:after="120" w:line="276" w:lineRule="auto"/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A031FB">
        <w:rPr>
          <w:rFonts w:asciiTheme="minorHAnsi" w:hAnsiTheme="minorHAnsi"/>
          <w:sz w:val="22"/>
          <w:szCs w:val="22"/>
        </w:rPr>
        <w:t>Na jaké typy dokladů (typ faktury či jiného dokladu) se mají informace</w:t>
      </w:r>
      <w:r w:rsidRPr="00A031FB">
        <w:rPr>
          <w:rFonts w:asciiTheme="minorHAnsi" w:hAnsiTheme="minorHAnsi"/>
          <w:bCs/>
          <w:sz w:val="22"/>
          <w:szCs w:val="22"/>
        </w:rPr>
        <w:t xml:space="preserve"> uvádět?</w:t>
      </w:r>
      <w:r w:rsidRPr="00A031F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031FB">
        <w:rPr>
          <w:rFonts w:asciiTheme="minorHAnsi" w:hAnsiTheme="minorHAnsi"/>
          <w:bCs/>
          <w:sz w:val="22"/>
          <w:szCs w:val="22"/>
        </w:rPr>
        <w:t xml:space="preserve">Nedává smysl, aby nově požadované údaje byly uváděny na konečném vyúčtování, mimořádném vyúčtování či na opravném vyúčtování a dále dle jiného předpisu jinak (např. v obecné </w:t>
      </w:r>
      <w:r w:rsidRPr="00A031FB">
        <w:rPr>
          <w:rFonts w:asciiTheme="minorHAnsi" w:hAnsiTheme="minorHAnsi"/>
          <w:sz w:val="22"/>
          <w:szCs w:val="22"/>
        </w:rPr>
        <w:t>písemnosti).</w:t>
      </w:r>
    </w:p>
    <w:p w:rsidR="00000000" w:rsidRPr="00A031FB" w:rsidRDefault="00087C8C" w:rsidP="00A031FB">
      <w:pPr>
        <w:pStyle w:val="Default"/>
        <w:numPr>
          <w:ilvl w:val="0"/>
          <w:numId w:val="9"/>
        </w:numPr>
        <w:spacing w:before="120" w:after="120" w:line="276" w:lineRule="auto"/>
        <w:ind w:left="567" w:hanging="425"/>
        <w:jc w:val="both"/>
        <w:rPr>
          <w:rFonts w:asciiTheme="minorHAnsi" w:hAnsiTheme="minorHAnsi"/>
          <w:bCs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Dále upozorňujeme na riziko, že v některých případech může docházet k situaci, kdy</w:t>
      </w:r>
      <w:r w:rsidRPr="00A031FB">
        <w:rPr>
          <w:rFonts w:asciiTheme="minorHAnsi" w:hAnsiTheme="minorHAnsi"/>
          <w:bCs/>
          <w:sz w:val="22"/>
          <w:szCs w:val="22"/>
        </w:rPr>
        <w:t xml:space="preserve"> nově požadované informace nebudou v okamžiku doručení vyúčtování zákazníkovi již aktuální, neboť veškeré informace budou platné ke dni vystavení faktury, přičemž v mezidobí již může např. dojít k změně e smlouvy.</w:t>
      </w:r>
    </w:p>
    <w:p w:rsidR="000C313D" w:rsidRPr="00A031FB" w:rsidRDefault="000C313D" w:rsidP="003C2525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Jelikož navrhované změny, budou-li schváleny v navrhovaném rozsahu, vyžadují podstatné úpravy informačních systémů účastníků trhu, navrhujeme</w:t>
      </w:r>
      <w:r w:rsidR="0025404C" w:rsidRPr="00A031FB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087C8C" w:rsidRPr="00A031FB">
        <w:rPr>
          <w:rFonts w:asciiTheme="minorHAnsi" w:hAnsiTheme="minorHAnsi"/>
          <w:iCs/>
          <w:sz w:val="22"/>
          <w:szCs w:val="22"/>
        </w:rPr>
        <w:t xml:space="preserve">aby </w:t>
      </w:r>
      <w:proofErr w:type="spellStart"/>
      <w:r w:rsidR="00087C8C" w:rsidRPr="00A031FB">
        <w:rPr>
          <w:rFonts w:asciiTheme="minorHAnsi" w:hAnsiTheme="minorHAnsi"/>
          <w:iCs/>
          <w:sz w:val="22"/>
          <w:szCs w:val="22"/>
        </w:rPr>
        <w:t>legisvakanční</w:t>
      </w:r>
      <w:proofErr w:type="spellEnd"/>
      <w:r w:rsidR="00087C8C" w:rsidRPr="00A031FB">
        <w:rPr>
          <w:rFonts w:asciiTheme="minorHAnsi" w:hAnsiTheme="minorHAnsi"/>
          <w:iCs/>
          <w:sz w:val="22"/>
          <w:szCs w:val="22"/>
        </w:rPr>
        <w:t xml:space="preserve"> </w:t>
      </w:r>
      <w:r w:rsidR="0025404C" w:rsidRPr="00A031FB">
        <w:rPr>
          <w:rFonts w:asciiTheme="minorHAnsi" w:hAnsiTheme="minorHAnsi"/>
          <w:iCs/>
          <w:sz w:val="22"/>
          <w:szCs w:val="22"/>
        </w:rPr>
        <w:t>lhůta</w:t>
      </w:r>
      <w:r w:rsidR="00087C8C" w:rsidRPr="00A031FB">
        <w:rPr>
          <w:rFonts w:asciiTheme="minorHAnsi" w:hAnsiTheme="minorHAnsi"/>
          <w:iCs/>
          <w:sz w:val="22"/>
          <w:szCs w:val="22"/>
        </w:rPr>
        <w:t xml:space="preserve"> byla stanovena minimálně na tři měsíce, přičemž předpokládáme, že s ohledem na délku trvání procesu schvalování a přijímání právních předpisů by účinnost měla být nejdříve od 1.</w:t>
      </w:r>
      <w:r w:rsidR="00A031FB">
        <w:rPr>
          <w:rFonts w:asciiTheme="minorHAnsi" w:hAnsiTheme="minorHAnsi"/>
          <w:iCs/>
          <w:sz w:val="22"/>
          <w:szCs w:val="22"/>
        </w:rPr>
        <w:t xml:space="preserve"> </w:t>
      </w:r>
      <w:r w:rsidR="00087C8C" w:rsidRPr="00A031FB">
        <w:rPr>
          <w:rFonts w:asciiTheme="minorHAnsi" w:hAnsiTheme="minorHAnsi"/>
          <w:iCs/>
          <w:sz w:val="22"/>
          <w:szCs w:val="22"/>
        </w:rPr>
        <w:t>1.</w:t>
      </w:r>
      <w:r w:rsidR="00A031FB">
        <w:rPr>
          <w:rFonts w:asciiTheme="minorHAnsi" w:hAnsiTheme="minorHAnsi"/>
          <w:iCs/>
          <w:sz w:val="22"/>
          <w:szCs w:val="22"/>
        </w:rPr>
        <w:t xml:space="preserve"> </w:t>
      </w:r>
      <w:r w:rsidR="00087C8C" w:rsidRPr="00A031FB">
        <w:rPr>
          <w:rFonts w:asciiTheme="minorHAnsi" w:hAnsiTheme="minorHAnsi"/>
          <w:iCs/>
          <w:sz w:val="22"/>
          <w:szCs w:val="22"/>
        </w:rPr>
        <w:t>2018</w:t>
      </w:r>
      <w:r w:rsidRPr="00A031FB">
        <w:rPr>
          <w:rFonts w:asciiTheme="minorHAnsi" w:hAnsiTheme="minorHAnsi"/>
          <w:color w:val="auto"/>
          <w:sz w:val="22"/>
          <w:szCs w:val="22"/>
        </w:rPr>
        <w:t>.</w:t>
      </w:r>
    </w:p>
    <w:p w:rsidR="0095629B" w:rsidRPr="00A031FB" w:rsidRDefault="0095629B" w:rsidP="003C2525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71A84" w:rsidRPr="00A031FB" w:rsidRDefault="00671A84" w:rsidP="00A031FB">
      <w:pPr>
        <w:pStyle w:val="Default"/>
        <w:keepNext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A031FB">
        <w:rPr>
          <w:rFonts w:asciiTheme="minorHAnsi" w:hAnsiTheme="minorHAnsi"/>
          <w:b/>
          <w:color w:val="auto"/>
          <w:sz w:val="22"/>
          <w:szCs w:val="22"/>
          <w:u w:val="single"/>
        </w:rPr>
        <w:t>Konkrétní připomínky</w:t>
      </w:r>
    </w:p>
    <w:p w:rsidR="000C313D" w:rsidRPr="00A031FB" w:rsidRDefault="000C313D" w:rsidP="00A031FB">
      <w:pPr>
        <w:pStyle w:val="Default"/>
        <w:keepNext/>
        <w:spacing w:before="120" w:after="120"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A031FB">
        <w:rPr>
          <w:rFonts w:asciiTheme="minorHAnsi" w:hAnsiTheme="minorHAnsi"/>
          <w:b/>
          <w:color w:val="auto"/>
          <w:sz w:val="22"/>
          <w:szCs w:val="22"/>
        </w:rPr>
        <w:t xml:space="preserve">Připomínky </w:t>
      </w:r>
      <w:r w:rsidR="003C2525" w:rsidRPr="00A031FB">
        <w:rPr>
          <w:rFonts w:asciiTheme="minorHAnsi" w:hAnsiTheme="minorHAnsi"/>
          <w:b/>
          <w:color w:val="auto"/>
          <w:sz w:val="22"/>
          <w:szCs w:val="22"/>
        </w:rPr>
        <w:t>k písm. c) v § 6 a § 10</w:t>
      </w:r>
    </w:p>
    <w:p w:rsidR="003C2525" w:rsidRPr="00A031FB" w:rsidRDefault="0025404C" w:rsidP="003C2525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Navrhujeme vypustit navrhované ustanovení</w:t>
      </w:r>
      <w:r w:rsidR="00935D3F" w:rsidRPr="00A031FB">
        <w:rPr>
          <w:rFonts w:asciiTheme="minorHAnsi" w:hAnsiTheme="minorHAnsi"/>
          <w:color w:val="auto"/>
          <w:sz w:val="22"/>
          <w:szCs w:val="22"/>
        </w:rPr>
        <w:t xml:space="preserve">, neboť návrh jde nad rámec relevantního zmocňovacího ustanovení </w:t>
      </w:r>
      <w:proofErr w:type="spellStart"/>
      <w:r w:rsidR="00935D3F" w:rsidRPr="00A031FB">
        <w:rPr>
          <w:rFonts w:asciiTheme="minorHAnsi" w:hAnsiTheme="minorHAnsi"/>
          <w:color w:val="auto"/>
          <w:sz w:val="22"/>
          <w:szCs w:val="22"/>
        </w:rPr>
        <w:t>EZ</w:t>
      </w:r>
      <w:proofErr w:type="spellEnd"/>
      <w:r w:rsidR="00935D3F" w:rsidRPr="00A031FB">
        <w:rPr>
          <w:rFonts w:asciiTheme="minorHAnsi" w:hAnsiTheme="minorHAnsi"/>
          <w:color w:val="auto"/>
          <w:sz w:val="22"/>
          <w:szCs w:val="22"/>
        </w:rPr>
        <w:t xml:space="preserve"> a s vyúčtováním dodávek elektřiny či plynu nesouvisí</w:t>
      </w:r>
      <w:r w:rsidRPr="00A031FB">
        <w:rPr>
          <w:rFonts w:asciiTheme="minorHAnsi" w:hAnsiTheme="minorHAnsi"/>
          <w:color w:val="auto"/>
          <w:sz w:val="22"/>
          <w:szCs w:val="22"/>
        </w:rPr>
        <w:t>.</w:t>
      </w:r>
      <w:r w:rsidR="00935D3F" w:rsidRPr="00A031F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C2525" w:rsidRPr="00A031FB">
        <w:rPr>
          <w:rFonts w:asciiTheme="minorHAnsi" w:hAnsiTheme="minorHAnsi"/>
          <w:color w:val="auto"/>
          <w:sz w:val="22"/>
          <w:szCs w:val="22"/>
        </w:rPr>
        <w:t>Jelikož neexistuje standardizace ve vztahu k označování jednotlivých smluv čí</w:t>
      </w:r>
      <w:r w:rsidR="00027C24" w:rsidRPr="00A031FB">
        <w:rPr>
          <w:rFonts w:asciiTheme="minorHAnsi" w:hAnsiTheme="minorHAnsi"/>
          <w:color w:val="auto"/>
          <w:sz w:val="22"/>
          <w:szCs w:val="22"/>
        </w:rPr>
        <w:t>slem - jedná se vždy o interní systém pro identifikaci smluv</w:t>
      </w:r>
      <w:r w:rsidR="003C2525" w:rsidRPr="00A031FB">
        <w:rPr>
          <w:rFonts w:asciiTheme="minorHAnsi" w:hAnsiTheme="minorHAnsi"/>
          <w:color w:val="auto"/>
          <w:sz w:val="22"/>
          <w:szCs w:val="22"/>
        </w:rPr>
        <w:t xml:space="preserve"> daného obchodníka, kterou si řeší jednoznačnou identifikaci smluv dle </w:t>
      </w:r>
      <w:r w:rsidR="00027C24" w:rsidRPr="00A031FB">
        <w:rPr>
          <w:rFonts w:asciiTheme="minorHAnsi" w:hAnsiTheme="minorHAnsi"/>
          <w:color w:val="auto"/>
          <w:sz w:val="22"/>
          <w:szCs w:val="22"/>
        </w:rPr>
        <w:t>vlastního</w:t>
      </w:r>
      <w:r w:rsidR="003C2525" w:rsidRPr="00A031FB">
        <w:rPr>
          <w:rFonts w:asciiTheme="minorHAnsi" w:hAnsiTheme="minorHAnsi"/>
          <w:color w:val="auto"/>
          <w:sz w:val="22"/>
          <w:szCs w:val="22"/>
        </w:rPr>
        <w:t xml:space="preserve"> uvážení - </w:t>
      </w:r>
      <w:r w:rsidR="003C2525" w:rsidRPr="00A031FB">
        <w:rPr>
          <w:rFonts w:asciiTheme="minorHAnsi" w:hAnsiTheme="minorHAnsi"/>
          <w:color w:val="auto"/>
          <w:sz w:val="22"/>
          <w:szCs w:val="22"/>
        </w:rPr>
        <w:lastRenderedPageBreak/>
        <w:t xml:space="preserve">nevidíme přínos tohoto doplnění. Navíc ani neexistuje obecná </w:t>
      </w:r>
      <w:r w:rsidR="00027C24" w:rsidRPr="00A031FB">
        <w:rPr>
          <w:rFonts w:asciiTheme="minorHAnsi" w:hAnsiTheme="minorHAnsi"/>
          <w:color w:val="auto"/>
          <w:sz w:val="22"/>
          <w:szCs w:val="22"/>
        </w:rPr>
        <w:t xml:space="preserve">zákonná </w:t>
      </w:r>
      <w:r w:rsidR="003C2525" w:rsidRPr="00A031FB">
        <w:rPr>
          <w:rFonts w:asciiTheme="minorHAnsi" w:hAnsiTheme="minorHAnsi"/>
          <w:color w:val="auto"/>
          <w:sz w:val="22"/>
          <w:szCs w:val="22"/>
        </w:rPr>
        <w:t>povinnost takto označovat jednotlivé smlouvy.</w:t>
      </w:r>
    </w:p>
    <w:p w:rsidR="003C2525" w:rsidRPr="00A031FB" w:rsidRDefault="00027C24" w:rsidP="003C2525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T</w:t>
      </w:r>
      <w:r w:rsidR="006B495F" w:rsidRPr="00A031FB">
        <w:rPr>
          <w:rFonts w:asciiTheme="minorHAnsi" w:hAnsiTheme="minorHAnsi"/>
          <w:color w:val="auto"/>
          <w:sz w:val="22"/>
          <w:szCs w:val="22"/>
        </w:rPr>
        <w:t xml:space="preserve">ato informace není požadována </w:t>
      </w:r>
      <w:r w:rsidRPr="00A031FB">
        <w:rPr>
          <w:rFonts w:asciiTheme="minorHAnsi" w:hAnsiTheme="minorHAnsi"/>
          <w:color w:val="auto"/>
          <w:sz w:val="22"/>
          <w:szCs w:val="22"/>
        </w:rPr>
        <w:t xml:space="preserve">ani </w:t>
      </w:r>
      <w:proofErr w:type="spellStart"/>
      <w:r w:rsidRPr="00A031FB">
        <w:rPr>
          <w:rFonts w:asciiTheme="minorHAnsi" w:hAnsiTheme="minorHAnsi"/>
          <w:color w:val="auto"/>
          <w:sz w:val="22"/>
          <w:szCs w:val="22"/>
        </w:rPr>
        <w:t>NOZ</w:t>
      </w:r>
      <w:proofErr w:type="spellEnd"/>
      <w:r w:rsidRPr="00A031FB">
        <w:rPr>
          <w:rFonts w:asciiTheme="minorHAnsi" w:hAnsiTheme="minorHAnsi"/>
          <w:color w:val="auto"/>
          <w:sz w:val="22"/>
          <w:szCs w:val="22"/>
        </w:rPr>
        <w:t>, ani unijními předpisy (</w:t>
      </w:r>
      <w:r w:rsidR="006B495F" w:rsidRPr="00A031FB">
        <w:rPr>
          <w:rFonts w:asciiTheme="minorHAnsi" w:hAnsiTheme="minorHAnsi"/>
          <w:color w:val="auto"/>
          <w:sz w:val="22"/>
          <w:szCs w:val="22"/>
        </w:rPr>
        <w:t xml:space="preserve">směrnice 2011/83/EU o právech spotřebitelů či příloha VII směrnice 2012/27/EU o energetické účinnosti, podobně tuto informaci nevyžaduje ani návrh přílohy II revidované směrnice 2009/72/ES). </w:t>
      </w:r>
      <w:r w:rsidRPr="00A031FB">
        <w:rPr>
          <w:rFonts w:asciiTheme="minorHAnsi" w:hAnsiTheme="minorHAnsi"/>
          <w:color w:val="auto"/>
          <w:sz w:val="22"/>
          <w:szCs w:val="22"/>
        </w:rPr>
        <w:t>P</w:t>
      </w:r>
      <w:r w:rsidR="003C2525" w:rsidRPr="00A031FB">
        <w:rPr>
          <w:rFonts w:asciiTheme="minorHAnsi" w:hAnsiTheme="minorHAnsi"/>
          <w:color w:val="auto"/>
          <w:sz w:val="22"/>
          <w:szCs w:val="22"/>
        </w:rPr>
        <w:t xml:space="preserve">roto navrhujeme, aby postačila jasná identifikace smlouvy podle </w:t>
      </w:r>
      <w:proofErr w:type="spellStart"/>
      <w:r w:rsidR="003C2525" w:rsidRPr="00A031FB">
        <w:rPr>
          <w:rFonts w:asciiTheme="minorHAnsi" w:hAnsiTheme="minorHAnsi"/>
          <w:color w:val="auto"/>
          <w:sz w:val="22"/>
          <w:szCs w:val="22"/>
        </w:rPr>
        <w:t>EANu</w:t>
      </w:r>
      <w:proofErr w:type="spellEnd"/>
      <w:r w:rsidR="003C2525" w:rsidRPr="00A031FB">
        <w:rPr>
          <w:rFonts w:asciiTheme="minorHAnsi" w:hAnsiTheme="minorHAnsi"/>
          <w:color w:val="auto"/>
          <w:sz w:val="22"/>
          <w:szCs w:val="22"/>
        </w:rPr>
        <w:t>/</w:t>
      </w:r>
      <w:proofErr w:type="spellStart"/>
      <w:r w:rsidR="003C2525" w:rsidRPr="00A031FB">
        <w:rPr>
          <w:rFonts w:asciiTheme="minorHAnsi" w:hAnsiTheme="minorHAnsi"/>
          <w:color w:val="auto"/>
          <w:sz w:val="22"/>
          <w:szCs w:val="22"/>
        </w:rPr>
        <w:t>EIC</w:t>
      </w:r>
      <w:proofErr w:type="spellEnd"/>
      <w:r w:rsidR="003C2525" w:rsidRPr="00A031FB">
        <w:rPr>
          <w:rFonts w:asciiTheme="minorHAnsi" w:hAnsiTheme="minorHAnsi"/>
          <w:color w:val="auto"/>
          <w:sz w:val="22"/>
          <w:szCs w:val="22"/>
        </w:rPr>
        <w:t xml:space="preserve"> kódu.</w:t>
      </w:r>
    </w:p>
    <w:p w:rsidR="00027C24" w:rsidRPr="00A031FB" w:rsidRDefault="0025404C" w:rsidP="003C2525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Dále upozorňujeme na některé souvislosti, se kterými se navrhovaná úprava vůbec nevypořádává, čehož důsledkem může být údaj na vyúčtování v konečném důsledku pro zákazníka zavádějící či matoucí</w:t>
      </w:r>
      <w:r w:rsidR="00027C24" w:rsidRPr="00A031FB">
        <w:rPr>
          <w:rFonts w:asciiTheme="minorHAnsi" w:hAnsiTheme="minorHAnsi"/>
          <w:color w:val="auto"/>
          <w:sz w:val="22"/>
          <w:szCs w:val="22"/>
        </w:rPr>
        <w:t>:</w:t>
      </w:r>
    </w:p>
    <w:p w:rsidR="00027C24" w:rsidRPr="00A031FB" w:rsidRDefault="00027C24" w:rsidP="00FA6916">
      <w:pPr>
        <w:pStyle w:val="Default"/>
        <w:numPr>
          <w:ilvl w:val="0"/>
          <w:numId w:val="9"/>
        </w:numPr>
        <w:spacing w:before="120" w:after="120" w:line="276" w:lineRule="auto"/>
        <w:ind w:left="567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Pokud je ke smlouvě uzavřen dodatek, měl by být i tento dodatek identifikován, tzn., mělo by dojít k aktualizaci údajů a nikoliv, aby se tiskl původní údaj z „prvotní smlouvy“.</w:t>
      </w:r>
    </w:p>
    <w:p w:rsidR="00027C24" w:rsidRPr="00A031FB" w:rsidRDefault="00027C24" w:rsidP="00FA6916">
      <w:pPr>
        <w:pStyle w:val="Default"/>
        <w:numPr>
          <w:ilvl w:val="0"/>
          <w:numId w:val="9"/>
        </w:numPr>
        <w:spacing w:before="120" w:after="120" w:line="276" w:lineRule="auto"/>
        <w:ind w:left="567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Pokud se dodatkem mění původní sjednaná doba, na kterou je smlouva uzavřena, není z návrhu zřejmé, v jakém okamžiku by se měly aktualizovat údaje na vyúčtování – okamžikem platnosti dodatku nebo okamžikem jeho účinnosti? Jak se dále vypořádat s</w:t>
      </w:r>
      <w:r w:rsidR="00430B4D" w:rsidRPr="00A031FB">
        <w:rPr>
          <w:rFonts w:asciiTheme="minorHAnsi" w:hAnsiTheme="minorHAnsi"/>
          <w:color w:val="auto"/>
          <w:sz w:val="22"/>
          <w:szCs w:val="22"/>
        </w:rPr>
        <w:t>e situacemi, kdy</w:t>
      </w:r>
      <w:r w:rsidRPr="00A031FB">
        <w:rPr>
          <w:rFonts w:asciiTheme="minorHAnsi" w:hAnsiTheme="minorHAnsi"/>
          <w:color w:val="auto"/>
          <w:sz w:val="22"/>
          <w:szCs w:val="22"/>
        </w:rPr>
        <w:t xml:space="preserve"> dodatek plně (ne)nahrazuje původní smlouvu (tzv. produktové dodatky)?</w:t>
      </w:r>
    </w:p>
    <w:p w:rsidR="00027C24" w:rsidRPr="00A031FB" w:rsidRDefault="00027C24" w:rsidP="00FA6916">
      <w:pPr>
        <w:pStyle w:val="Default"/>
        <w:numPr>
          <w:ilvl w:val="0"/>
          <w:numId w:val="9"/>
        </w:numPr>
        <w:spacing w:before="120" w:after="120" w:line="276" w:lineRule="auto"/>
        <w:ind w:left="567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Samotný údaj o tom, na jakou dobu je smlouva uzavřena, je zavádějící. Někdy je počítána od uzavření, někdy od zahájení dodávky. Dále není zřejmé, co má být na vyúčtování uvedeno v případě, že smlouva je již prolongována, neboť prolongace může stanovit jinou délku fixace</w:t>
      </w:r>
      <w:r w:rsidR="0025404C" w:rsidRPr="00A031FB">
        <w:rPr>
          <w:rFonts w:asciiTheme="minorHAnsi" w:hAnsiTheme="minorHAnsi"/>
          <w:color w:val="auto"/>
          <w:sz w:val="22"/>
          <w:szCs w:val="22"/>
        </w:rPr>
        <w:t>,</w:t>
      </w:r>
      <w:r w:rsidRPr="00A031FB">
        <w:rPr>
          <w:rFonts w:asciiTheme="minorHAnsi" w:hAnsiTheme="minorHAnsi"/>
          <w:color w:val="auto"/>
          <w:sz w:val="22"/>
          <w:szCs w:val="22"/>
        </w:rPr>
        <w:t xml:space="preserve"> než bylo původní období, a tudíž </w:t>
      </w:r>
      <w:r w:rsidR="00671A84" w:rsidRPr="00A031FB">
        <w:rPr>
          <w:rFonts w:asciiTheme="minorHAnsi" w:hAnsiTheme="minorHAnsi"/>
          <w:color w:val="auto"/>
          <w:sz w:val="22"/>
          <w:szCs w:val="22"/>
        </w:rPr>
        <w:t xml:space="preserve">bude opět </w:t>
      </w:r>
      <w:r w:rsidRPr="00A031FB">
        <w:rPr>
          <w:rFonts w:asciiTheme="minorHAnsi" w:hAnsiTheme="minorHAnsi"/>
          <w:color w:val="auto"/>
          <w:sz w:val="22"/>
          <w:szCs w:val="22"/>
        </w:rPr>
        <w:t xml:space="preserve">informace na vyúčtování </w:t>
      </w:r>
      <w:r w:rsidR="00FA6916">
        <w:rPr>
          <w:rFonts w:asciiTheme="minorHAnsi" w:hAnsiTheme="minorHAnsi"/>
          <w:color w:val="auto"/>
          <w:sz w:val="22"/>
          <w:szCs w:val="22"/>
        </w:rPr>
        <w:t>zavádějící či zastaralá, a </w:t>
      </w:r>
      <w:r w:rsidR="00671A84" w:rsidRPr="00A031FB">
        <w:rPr>
          <w:rFonts w:asciiTheme="minorHAnsi" w:hAnsiTheme="minorHAnsi"/>
          <w:color w:val="auto"/>
          <w:sz w:val="22"/>
          <w:szCs w:val="22"/>
        </w:rPr>
        <w:t>proto pro zákazníka matoucí</w:t>
      </w:r>
      <w:r w:rsidR="00232281" w:rsidRPr="00A031FB">
        <w:rPr>
          <w:rFonts w:asciiTheme="minorHAnsi" w:hAnsiTheme="minorHAnsi"/>
          <w:color w:val="auto"/>
          <w:sz w:val="22"/>
          <w:szCs w:val="22"/>
        </w:rPr>
        <w:t xml:space="preserve"> či bez významu</w:t>
      </w:r>
      <w:r w:rsidR="00671A84" w:rsidRPr="00A031FB">
        <w:rPr>
          <w:rFonts w:asciiTheme="minorHAnsi" w:hAnsiTheme="minorHAnsi"/>
          <w:color w:val="auto"/>
          <w:sz w:val="22"/>
          <w:szCs w:val="22"/>
        </w:rPr>
        <w:t>.</w:t>
      </w:r>
    </w:p>
    <w:p w:rsidR="006B495F" w:rsidRPr="00A031FB" w:rsidRDefault="00AE61DF" w:rsidP="00A031FB">
      <w:pPr>
        <w:pStyle w:val="Default"/>
        <w:keepNext/>
        <w:spacing w:after="120"/>
        <w:rPr>
          <w:rFonts w:asciiTheme="minorHAnsi" w:hAnsiTheme="minorHAnsi"/>
          <w:b/>
          <w:color w:val="auto"/>
          <w:sz w:val="22"/>
          <w:szCs w:val="22"/>
        </w:rPr>
      </w:pPr>
      <w:r w:rsidRPr="00A031FB">
        <w:rPr>
          <w:rFonts w:asciiTheme="minorHAnsi" w:hAnsiTheme="minorHAnsi"/>
          <w:b/>
          <w:color w:val="auto"/>
          <w:sz w:val="22"/>
          <w:szCs w:val="22"/>
        </w:rPr>
        <w:t>Připomínka</w:t>
      </w:r>
      <w:r w:rsidR="006B495F" w:rsidRPr="00A031FB">
        <w:rPr>
          <w:rFonts w:asciiTheme="minorHAnsi" w:hAnsiTheme="minorHAnsi"/>
          <w:b/>
          <w:color w:val="auto"/>
          <w:sz w:val="22"/>
          <w:szCs w:val="22"/>
        </w:rPr>
        <w:t xml:space="preserve"> k písm. d) v § 6 a § 10</w:t>
      </w:r>
    </w:p>
    <w:p w:rsidR="003C2525" w:rsidRPr="00A031FB" w:rsidRDefault="00671A84" w:rsidP="00AE61DF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bCs/>
          <w:sz w:val="22"/>
          <w:szCs w:val="22"/>
        </w:rPr>
        <w:t>Z </w:t>
      </w:r>
      <w:r w:rsidRPr="00A031FB">
        <w:rPr>
          <w:rFonts w:asciiTheme="minorHAnsi" w:hAnsiTheme="minorHAnsi"/>
          <w:color w:val="auto"/>
          <w:sz w:val="22"/>
          <w:szCs w:val="22"/>
        </w:rPr>
        <w:t xml:space="preserve">návrhu není zřejmé, jak přistupovat k situacím, kdy je na základě výpovědi podané podle § </w:t>
      </w:r>
      <w:proofErr w:type="spellStart"/>
      <w:r w:rsidRPr="00A031FB">
        <w:rPr>
          <w:rFonts w:asciiTheme="minorHAnsi" w:hAnsiTheme="minorHAnsi"/>
          <w:color w:val="auto"/>
          <w:sz w:val="22"/>
          <w:szCs w:val="22"/>
        </w:rPr>
        <w:t>11a</w:t>
      </w:r>
      <w:proofErr w:type="spellEnd"/>
      <w:r w:rsidRPr="00A031FB">
        <w:rPr>
          <w:rFonts w:asciiTheme="minorHAnsi" w:hAnsiTheme="minorHAnsi"/>
          <w:color w:val="auto"/>
          <w:sz w:val="22"/>
          <w:szCs w:val="22"/>
        </w:rPr>
        <w:t xml:space="preserve"> odst.</w:t>
      </w:r>
      <w:r w:rsidR="00935D3F" w:rsidRPr="00A031FB">
        <w:rPr>
          <w:rFonts w:asciiTheme="minorHAnsi" w:hAnsiTheme="minorHAnsi"/>
          <w:color w:val="auto"/>
          <w:sz w:val="22"/>
          <w:szCs w:val="22"/>
        </w:rPr>
        <w:t> </w:t>
      </w:r>
      <w:r w:rsidRPr="00A031FB">
        <w:rPr>
          <w:rFonts w:asciiTheme="minorHAnsi" w:hAnsiTheme="minorHAnsi"/>
          <w:color w:val="auto"/>
          <w:sz w:val="22"/>
          <w:szCs w:val="22"/>
        </w:rPr>
        <w:t xml:space="preserve">3 </w:t>
      </w:r>
      <w:proofErr w:type="spellStart"/>
      <w:r w:rsidRPr="00A031FB">
        <w:rPr>
          <w:rFonts w:asciiTheme="minorHAnsi" w:hAnsiTheme="minorHAnsi"/>
          <w:color w:val="auto"/>
          <w:sz w:val="22"/>
          <w:szCs w:val="22"/>
        </w:rPr>
        <w:t>EZ</w:t>
      </w:r>
      <w:proofErr w:type="spellEnd"/>
      <w:r w:rsidRPr="00A031FB">
        <w:rPr>
          <w:rFonts w:asciiTheme="minorHAnsi" w:hAnsiTheme="minorHAnsi"/>
          <w:color w:val="auto"/>
          <w:sz w:val="22"/>
          <w:szCs w:val="22"/>
        </w:rPr>
        <w:t xml:space="preserve"> dodávka</w:t>
      </w:r>
      <w:r w:rsidR="00AE61DF" w:rsidRPr="00A031FB">
        <w:rPr>
          <w:rFonts w:asciiTheme="minorHAnsi" w:hAnsiTheme="minorHAnsi"/>
          <w:color w:val="auto"/>
          <w:sz w:val="22"/>
          <w:szCs w:val="22"/>
        </w:rPr>
        <w:t xml:space="preserve"> od původního obchodníka po velmi krátkou dobu přerušena. Má se v tomto případě na vyúčtování uvádět nové datum zahájení dodávky, i když může být dodávka realizována na základě původně uzavřené smlouvy, tzn., nedošlo ke změně?</w:t>
      </w:r>
    </w:p>
    <w:p w:rsidR="00AE61DF" w:rsidRPr="00A031FB" w:rsidRDefault="00AE61DF" w:rsidP="00A031FB">
      <w:pPr>
        <w:pStyle w:val="Default"/>
        <w:keepNext/>
        <w:spacing w:after="120"/>
        <w:rPr>
          <w:rFonts w:asciiTheme="minorHAnsi" w:hAnsiTheme="minorHAnsi"/>
          <w:b/>
          <w:color w:val="auto"/>
          <w:sz w:val="22"/>
          <w:szCs w:val="22"/>
        </w:rPr>
      </w:pPr>
      <w:r w:rsidRPr="00A031FB">
        <w:rPr>
          <w:rFonts w:asciiTheme="minorHAnsi" w:hAnsiTheme="minorHAnsi"/>
          <w:b/>
          <w:color w:val="auto"/>
          <w:sz w:val="22"/>
          <w:szCs w:val="22"/>
        </w:rPr>
        <w:t>Připomínka k písm. o) v § 6 a § 10</w:t>
      </w:r>
    </w:p>
    <w:p w:rsidR="0025404C" w:rsidRPr="00A031FB" w:rsidRDefault="0025404C" w:rsidP="00AE61DF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 xml:space="preserve">Navrhujeme vypustit navrhované ustanovení. Návrh jde opět nad rámec </w:t>
      </w:r>
      <w:proofErr w:type="spellStart"/>
      <w:r w:rsidRPr="00A031FB">
        <w:rPr>
          <w:rFonts w:asciiTheme="minorHAnsi" w:hAnsiTheme="minorHAnsi"/>
          <w:color w:val="auto"/>
          <w:sz w:val="22"/>
          <w:szCs w:val="22"/>
        </w:rPr>
        <w:t>EZ</w:t>
      </w:r>
      <w:proofErr w:type="spellEnd"/>
      <w:r w:rsidRPr="00A031FB">
        <w:rPr>
          <w:rFonts w:asciiTheme="minorHAnsi" w:hAnsiTheme="minorHAnsi"/>
          <w:color w:val="auto"/>
          <w:sz w:val="22"/>
          <w:szCs w:val="22"/>
        </w:rPr>
        <w:t>, neboť relevantní zmocňovací ustanovení vyhrazuje úpravě podzákonnému předpisu pouze stanovení rozsahu, náležitostí a termínů vyúčtování, navrhovaný údaj přitom s vyúčtováním dodávek elektřiny či plynu nesouvisí.</w:t>
      </w:r>
    </w:p>
    <w:p w:rsidR="00AE61DF" w:rsidRPr="00A031FB" w:rsidRDefault="0025404C" w:rsidP="00AE61DF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 xml:space="preserve">Z návrhu není dále zřejmé, </w:t>
      </w:r>
      <w:r w:rsidR="00AE61DF" w:rsidRPr="00A031FB">
        <w:rPr>
          <w:rFonts w:asciiTheme="minorHAnsi" w:hAnsiTheme="minorHAnsi"/>
          <w:color w:val="auto"/>
          <w:sz w:val="22"/>
          <w:szCs w:val="22"/>
        </w:rPr>
        <w:t xml:space="preserve">jak přistupovat k situacím, kdy zákazník již reálně podal výpověď a datum </w:t>
      </w:r>
      <w:r w:rsidR="002F33E8" w:rsidRPr="00A031FB">
        <w:rPr>
          <w:rFonts w:asciiTheme="minorHAnsi" w:hAnsiTheme="minorHAnsi"/>
          <w:color w:val="auto"/>
          <w:sz w:val="22"/>
          <w:szCs w:val="22"/>
        </w:rPr>
        <w:t>ukončení smlouvy je odlišné</w:t>
      </w:r>
      <w:r w:rsidR="00AE61DF" w:rsidRPr="00A031FB">
        <w:rPr>
          <w:rFonts w:asciiTheme="minorHAnsi" w:hAnsiTheme="minorHAnsi"/>
          <w:color w:val="auto"/>
          <w:sz w:val="22"/>
          <w:szCs w:val="22"/>
        </w:rPr>
        <w:t xml:space="preserve"> od data podle smlouvy. Jedná se o případy, kdy </w:t>
      </w:r>
      <w:r w:rsidR="002F33E8" w:rsidRPr="00A031FB">
        <w:rPr>
          <w:rFonts w:asciiTheme="minorHAnsi" w:hAnsiTheme="minorHAnsi"/>
          <w:color w:val="auto"/>
          <w:sz w:val="22"/>
          <w:szCs w:val="22"/>
        </w:rPr>
        <w:t>akceptujeme přání zákazníka. Jaký údaj by v tomto případě měl být uveden na vyúčtování.</w:t>
      </w:r>
    </w:p>
    <w:p w:rsidR="00FC22D0" w:rsidRPr="00A031FB" w:rsidRDefault="00FC22D0" w:rsidP="00AE61DF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22D0" w:rsidRPr="00A031FB" w:rsidRDefault="00FC22D0" w:rsidP="00A031FB">
      <w:pPr>
        <w:pStyle w:val="Default"/>
        <w:keepNext/>
        <w:spacing w:before="120" w:after="120"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A031FB">
        <w:rPr>
          <w:rFonts w:asciiTheme="minorHAnsi" w:hAnsiTheme="minorHAnsi"/>
          <w:b/>
          <w:color w:val="auto"/>
          <w:sz w:val="22"/>
          <w:szCs w:val="22"/>
        </w:rPr>
        <w:t>Připomínka k § 12 odst. 1 písm. c)</w:t>
      </w:r>
    </w:p>
    <w:p w:rsidR="00FC22D0" w:rsidRPr="00A031FB" w:rsidRDefault="00FC22D0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Navrhujeme vypustit navrhované ustanovení §</w:t>
      </w:r>
      <w:r w:rsidR="006D45EB" w:rsidRPr="00A031F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031FB">
        <w:rPr>
          <w:rFonts w:asciiTheme="minorHAnsi" w:hAnsiTheme="minorHAnsi"/>
          <w:color w:val="auto"/>
          <w:sz w:val="22"/>
          <w:szCs w:val="22"/>
        </w:rPr>
        <w:t>12 odst.</w:t>
      </w:r>
      <w:r w:rsidR="006D45EB" w:rsidRPr="00A031F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031FB">
        <w:rPr>
          <w:rFonts w:asciiTheme="minorHAnsi" w:hAnsiTheme="minorHAnsi"/>
          <w:color w:val="auto"/>
          <w:sz w:val="22"/>
          <w:szCs w:val="22"/>
        </w:rPr>
        <w:t xml:space="preserve">1 písm. c) týkající se uvádění údajů identifikujících smlouvu, na základě které je vyúčtování služby </w:t>
      </w:r>
      <w:r w:rsidR="00FA6916">
        <w:rPr>
          <w:rFonts w:asciiTheme="minorHAnsi" w:hAnsiTheme="minorHAnsi"/>
          <w:color w:val="auto"/>
          <w:sz w:val="22"/>
          <w:szCs w:val="22"/>
        </w:rPr>
        <w:t>distribuční soustavy provedeno.</w:t>
      </w:r>
    </w:p>
    <w:p w:rsidR="00FC22D0" w:rsidRPr="00A031FB" w:rsidRDefault="00FC22D0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 xml:space="preserve">Považujeme za nezbytné upozornit, že smlouvu o zajištění služby distribuční soustavy není možné stavět do stejné roviny se smlouvami, které zákazník uzavírá s obchodníkem s plynem. Zákazník má </w:t>
      </w:r>
      <w:r w:rsidRPr="00A031FB">
        <w:rPr>
          <w:rFonts w:asciiTheme="minorHAnsi" w:hAnsiTheme="minorHAnsi"/>
          <w:color w:val="auto"/>
          <w:sz w:val="22"/>
          <w:szCs w:val="22"/>
        </w:rPr>
        <w:lastRenderedPageBreak/>
        <w:t>s</w:t>
      </w:r>
      <w:r w:rsidR="00FA6916">
        <w:rPr>
          <w:rFonts w:asciiTheme="minorHAnsi" w:hAnsiTheme="minorHAnsi"/>
          <w:color w:val="auto"/>
          <w:sz w:val="22"/>
          <w:szCs w:val="22"/>
        </w:rPr>
        <w:t> </w:t>
      </w:r>
      <w:r w:rsidRPr="00A031FB">
        <w:rPr>
          <w:rFonts w:asciiTheme="minorHAnsi" w:hAnsiTheme="minorHAnsi"/>
          <w:color w:val="auto"/>
          <w:sz w:val="22"/>
          <w:szCs w:val="22"/>
        </w:rPr>
        <w:t>provozovatelem distribuční soustavy (</w:t>
      </w:r>
      <w:proofErr w:type="spellStart"/>
      <w:r w:rsidRPr="00A031FB">
        <w:rPr>
          <w:rFonts w:asciiTheme="minorHAnsi" w:hAnsiTheme="minorHAnsi"/>
          <w:color w:val="auto"/>
          <w:sz w:val="22"/>
          <w:szCs w:val="22"/>
        </w:rPr>
        <w:t>PDS</w:t>
      </w:r>
      <w:proofErr w:type="spellEnd"/>
      <w:r w:rsidRPr="00A031FB">
        <w:rPr>
          <w:rFonts w:asciiTheme="minorHAnsi" w:hAnsiTheme="minorHAnsi"/>
          <w:color w:val="auto"/>
          <w:sz w:val="22"/>
          <w:szCs w:val="22"/>
        </w:rPr>
        <w:t xml:space="preserve">) uzavřenou v jeden okamžik vždy pouze jednu smlouvu tohoto typu a zároveň neexistuje možnost volby provozovatele distribuční soustavy. Z tohoto pohledu nemůže v žádném případě docházet k pochybnostem, na základě které smlouvy bylo poskytnutí služby distribuční soustavy fakturováno. Jakékoliv změny dodavatele plynu nemají na smlouvu uzavřenou mezi zákazníkem a </w:t>
      </w:r>
      <w:proofErr w:type="spellStart"/>
      <w:r w:rsidRPr="00A031FB">
        <w:rPr>
          <w:rFonts w:asciiTheme="minorHAnsi" w:hAnsiTheme="minorHAnsi"/>
          <w:color w:val="auto"/>
          <w:sz w:val="22"/>
          <w:szCs w:val="22"/>
        </w:rPr>
        <w:t>PDS</w:t>
      </w:r>
      <w:proofErr w:type="spellEnd"/>
      <w:r w:rsidRPr="00A031FB">
        <w:rPr>
          <w:rFonts w:asciiTheme="minorHAnsi" w:hAnsiTheme="minorHAnsi"/>
          <w:color w:val="auto"/>
          <w:sz w:val="22"/>
          <w:szCs w:val="22"/>
        </w:rPr>
        <w:t xml:space="preserve"> vliv.</w:t>
      </w:r>
    </w:p>
    <w:p w:rsidR="00FC22D0" w:rsidRPr="00A031FB" w:rsidRDefault="00FC22D0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 xml:space="preserve">Co se týká požadavku na uvedení data uzavření smlouvy o zajištění služby distribuční soustavy, není toto datum pro vyúčtování služby distribuční soustavy vůbec relevantní. V praxi je vždy nejprve uzavřena smlouva, na jejímž základě zákazník požádá o rezervaci distribuční kapacity k určitému datu. Po schválení této žádosti ze strany </w:t>
      </w:r>
      <w:proofErr w:type="spellStart"/>
      <w:r w:rsidRPr="00A031FB">
        <w:rPr>
          <w:rFonts w:asciiTheme="minorHAnsi" w:hAnsiTheme="minorHAnsi"/>
          <w:color w:val="auto"/>
          <w:sz w:val="22"/>
          <w:szCs w:val="22"/>
        </w:rPr>
        <w:t>PDS</w:t>
      </w:r>
      <w:proofErr w:type="spellEnd"/>
      <w:r w:rsidRPr="00A031FB">
        <w:rPr>
          <w:rFonts w:asciiTheme="minorHAnsi" w:hAnsiTheme="minorHAnsi"/>
          <w:color w:val="auto"/>
          <w:sz w:val="22"/>
          <w:szCs w:val="22"/>
        </w:rPr>
        <w:t xml:space="preserve"> teprve začne běžet lhůta na umožnění distribuce plynu (instalace měřicího zařízení) dle vyhlášky č. 545/2006 Sb. v délce 5 pracovních dnů. Po instalaci měřícího zařízení je zákazníkovi ze strany </w:t>
      </w:r>
      <w:proofErr w:type="spellStart"/>
      <w:r w:rsidRPr="00A031FB">
        <w:rPr>
          <w:rFonts w:asciiTheme="minorHAnsi" w:hAnsiTheme="minorHAnsi"/>
          <w:color w:val="auto"/>
          <w:sz w:val="22"/>
          <w:szCs w:val="22"/>
        </w:rPr>
        <w:t>PDS</w:t>
      </w:r>
      <w:proofErr w:type="spellEnd"/>
      <w:r w:rsidRPr="00A031FB">
        <w:rPr>
          <w:rFonts w:asciiTheme="minorHAnsi" w:hAnsiTheme="minorHAnsi"/>
          <w:color w:val="auto"/>
          <w:sz w:val="22"/>
          <w:szCs w:val="22"/>
        </w:rPr>
        <w:t xml:space="preserve"> předán montážní protokol se všemi podstatnými údaji. Teprve k datu fyzické montáže měřicího zařízení pak dochází k zahájení plnění dle uzavřené smlouvy a toto datum je relevantní pro vyúčtování služby distribuční soustavy (zároveň však není nijak promítnuto do již uzavřené smlouvy). Je třeba také zmínit, že veškeré montáže, výměny a demontáže měřicích zařízení v odběrném místě zákazníka včetně termínů jsou již dnes ve vyúčtování služby distribuční soustavy uváděny.</w:t>
      </w:r>
    </w:p>
    <w:p w:rsidR="00FC22D0" w:rsidRPr="00A031FB" w:rsidRDefault="00FC22D0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Vzhledem k tomu, že služba distribuční soustavy je poskytována na regulované části trhu s plynem, není uzavření, změna, či ukončení smlouvy o zajištění služby distribuční soustavy nijak zpoplatněno.</w:t>
      </w:r>
    </w:p>
    <w:p w:rsidR="00FC22D0" w:rsidRDefault="006D45EB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031FB">
        <w:rPr>
          <w:rFonts w:asciiTheme="minorHAnsi" w:hAnsiTheme="minorHAnsi"/>
          <w:color w:val="auto"/>
          <w:sz w:val="22"/>
          <w:szCs w:val="22"/>
        </w:rPr>
        <w:t>J</w:t>
      </w:r>
      <w:r w:rsidR="00FC22D0" w:rsidRPr="00A031FB">
        <w:rPr>
          <w:rFonts w:asciiTheme="minorHAnsi" w:hAnsiTheme="minorHAnsi"/>
          <w:color w:val="auto"/>
          <w:sz w:val="22"/>
          <w:szCs w:val="22"/>
        </w:rPr>
        <w:t xml:space="preserve">sme přesvědčeni, že v případě smlouvy o zajištění služby distribuční soustavy k pochybnostem či nesrovnalostem </w:t>
      </w:r>
      <w:r w:rsidRPr="00A031FB">
        <w:rPr>
          <w:rFonts w:asciiTheme="minorHAnsi" w:hAnsiTheme="minorHAnsi"/>
          <w:color w:val="auto"/>
          <w:sz w:val="22"/>
          <w:szCs w:val="22"/>
        </w:rPr>
        <w:t xml:space="preserve">vytýkaným v odůvodnění </w:t>
      </w:r>
      <w:r w:rsidR="00FC22D0" w:rsidRPr="00A031FB">
        <w:rPr>
          <w:rFonts w:asciiTheme="minorHAnsi" w:hAnsiTheme="minorHAnsi"/>
          <w:color w:val="auto"/>
          <w:sz w:val="22"/>
          <w:szCs w:val="22"/>
        </w:rPr>
        <w:t>nemůže dojít. Dle našeho názoru by další rozšíření náležitostí vyúčtování služby distribuční soustavy o ne zcela relevantní údaje bylo z pohledu zákazníka kontraproduktivní. Doporučujeme proto ponechat stávající úpravu.</w:t>
      </w:r>
    </w:p>
    <w:p w:rsidR="00A031FB" w:rsidRDefault="00A031FB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031FB" w:rsidRDefault="00A031FB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031FB" w:rsidRDefault="00A031FB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031FB" w:rsidRDefault="00A031FB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031FB" w:rsidRDefault="00A031FB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A6916" w:rsidRDefault="00FA6916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A6916" w:rsidRDefault="00FA6916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A6916" w:rsidRDefault="00FA6916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A6916" w:rsidRDefault="00FA6916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A6916" w:rsidRDefault="00FA6916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A6916" w:rsidRDefault="00FA6916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031FB" w:rsidRDefault="00A031FB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031FB" w:rsidRPr="00A031FB" w:rsidRDefault="00A031FB" w:rsidP="00FC22D0">
      <w:pPr>
        <w:pStyle w:val="Default"/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Praha 26. 4. 2017</w:t>
      </w:r>
    </w:p>
    <w:sectPr w:rsidR="00A031FB" w:rsidRPr="00A031FB" w:rsidSect="00A031FB">
      <w:footerReference w:type="default" r:id="rId8"/>
      <w:headerReference w:type="first" r:id="rId9"/>
      <w:footerReference w:type="first" r:id="rId10"/>
      <w:pgSz w:w="11906" w:h="16838" w:code="9"/>
      <w:pgMar w:top="1962" w:right="1418" w:bottom="1135" w:left="1418" w:header="567" w:footer="555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B83C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E5" w:rsidRDefault="001B18E5" w:rsidP="005A663A">
      <w:pPr>
        <w:spacing w:after="0" w:line="240" w:lineRule="auto"/>
      </w:pPr>
      <w:r>
        <w:separator/>
      </w:r>
    </w:p>
  </w:endnote>
  <w:endnote w:type="continuationSeparator" w:id="0">
    <w:p w:rsidR="001B18E5" w:rsidRDefault="001B18E5" w:rsidP="005A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2998"/>
      <w:docPartObj>
        <w:docPartGallery w:val="Page Numbers (Bottom of Page)"/>
        <w:docPartUnique/>
      </w:docPartObj>
    </w:sdtPr>
    <w:sdtContent>
      <w:p w:rsidR="00A031FB" w:rsidRDefault="00A031FB">
        <w:pPr>
          <w:pStyle w:val="Zpat"/>
          <w:jc w:val="center"/>
        </w:pPr>
        <w:fldSimple w:instr=" PAGE   \* MERGEFORMAT ">
          <w:r w:rsidR="00FA6916">
            <w:rPr>
              <w:noProof/>
            </w:rPr>
            <w:t>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2994"/>
      <w:docPartObj>
        <w:docPartGallery w:val="Page Numbers (Bottom of Page)"/>
        <w:docPartUnique/>
      </w:docPartObj>
    </w:sdtPr>
    <w:sdtContent>
      <w:p w:rsidR="00A031FB" w:rsidRDefault="00A031FB">
        <w:pPr>
          <w:pStyle w:val="Zpat"/>
          <w:jc w:val="center"/>
        </w:pPr>
        <w:fldSimple w:instr=" PAGE   \* MERGEFORMAT ">
          <w:r w:rsidR="00FA691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E5" w:rsidRDefault="001B18E5" w:rsidP="005A663A">
      <w:pPr>
        <w:spacing w:after="0" w:line="240" w:lineRule="auto"/>
      </w:pPr>
      <w:r>
        <w:separator/>
      </w:r>
    </w:p>
  </w:footnote>
  <w:footnote w:type="continuationSeparator" w:id="0">
    <w:p w:rsidR="001B18E5" w:rsidRDefault="001B18E5" w:rsidP="005A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FB" w:rsidRDefault="00A031FB">
    <w:pPr>
      <w:pStyle w:val="Zhlav"/>
    </w:pPr>
    <w:r w:rsidRPr="00A031FB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1509395</wp:posOffset>
          </wp:positionH>
          <wp:positionV relativeFrom="paragraph">
            <wp:posOffset>97155</wp:posOffset>
          </wp:positionV>
          <wp:extent cx="2695575" cy="695325"/>
          <wp:effectExtent l="19050" t="0" r="9525" b="0"/>
          <wp:wrapSquare wrapText="bothSides"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A71"/>
    <w:multiLevelType w:val="hybridMultilevel"/>
    <w:tmpl w:val="D4B6047C"/>
    <w:lvl w:ilvl="0" w:tplc="832E0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1539"/>
    <w:multiLevelType w:val="hybridMultilevel"/>
    <w:tmpl w:val="FA042346"/>
    <w:lvl w:ilvl="0" w:tplc="67D6F5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21EAC"/>
    <w:multiLevelType w:val="hybridMultilevel"/>
    <w:tmpl w:val="D2A4902E"/>
    <w:lvl w:ilvl="0" w:tplc="FF54C8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92E3B"/>
    <w:multiLevelType w:val="hybridMultilevel"/>
    <w:tmpl w:val="B0AC3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5644B"/>
    <w:multiLevelType w:val="hybridMultilevel"/>
    <w:tmpl w:val="40A0CA7C"/>
    <w:lvl w:ilvl="0" w:tplc="9FB69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5D3"/>
    <w:multiLevelType w:val="hybridMultilevel"/>
    <w:tmpl w:val="0C6CCA3A"/>
    <w:lvl w:ilvl="0" w:tplc="1DE2E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468BE"/>
    <w:multiLevelType w:val="hybridMultilevel"/>
    <w:tmpl w:val="D3342B4E"/>
    <w:lvl w:ilvl="0" w:tplc="FE547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F612D"/>
    <w:multiLevelType w:val="hybridMultilevel"/>
    <w:tmpl w:val="C5AAA766"/>
    <w:lvl w:ilvl="0" w:tplc="97AAC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B5633"/>
    <w:multiLevelType w:val="hybridMultilevel"/>
    <w:tmpl w:val="5600A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6ACA"/>
    <w:rsid w:val="00027C24"/>
    <w:rsid w:val="00053BD9"/>
    <w:rsid w:val="00065E59"/>
    <w:rsid w:val="00084545"/>
    <w:rsid w:val="00087C8C"/>
    <w:rsid w:val="00092518"/>
    <w:rsid w:val="00092A93"/>
    <w:rsid w:val="000A274F"/>
    <w:rsid w:val="000C313D"/>
    <w:rsid w:val="000F3340"/>
    <w:rsid w:val="000F6F3F"/>
    <w:rsid w:val="00100BFD"/>
    <w:rsid w:val="00117385"/>
    <w:rsid w:val="001207D6"/>
    <w:rsid w:val="00130C4F"/>
    <w:rsid w:val="001439CA"/>
    <w:rsid w:val="00145ADB"/>
    <w:rsid w:val="00161B8E"/>
    <w:rsid w:val="0016633F"/>
    <w:rsid w:val="00183F50"/>
    <w:rsid w:val="001A3D16"/>
    <w:rsid w:val="001B0B5E"/>
    <w:rsid w:val="001B18E5"/>
    <w:rsid w:val="001B2017"/>
    <w:rsid w:val="001C2C5E"/>
    <w:rsid w:val="001C56AE"/>
    <w:rsid w:val="00232281"/>
    <w:rsid w:val="002354F4"/>
    <w:rsid w:val="00236C45"/>
    <w:rsid w:val="00247127"/>
    <w:rsid w:val="0025404C"/>
    <w:rsid w:val="00261650"/>
    <w:rsid w:val="002749E4"/>
    <w:rsid w:val="0028224B"/>
    <w:rsid w:val="00287440"/>
    <w:rsid w:val="002F33E8"/>
    <w:rsid w:val="00305EB7"/>
    <w:rsid w:val="003447BC"/>
    <w:rsid w:val="00371C94"/>
    <w:rsid w:val="00386A2E"/>
    <w:rsid w:val="00392D54"/>
    <w:rsid w:val="003C2525"/>
    <w:rsid w:val="00407CFC"/>
    <w:rsid w:val="00420572"/>
    <w:rsid w:val="00430B4D"/>
    <w:rsid w:val="00486F18"/>
    <w:rsid w:val="004932F0"/>
    <w:rsid w:val="004A73CF"/>
    <w:rsid w:val="004A7FEC"/>
    <w:rsid w:val="004B0C9E"/>
    <w:rsid w:val="004E0287"/>
    <w:rsid w:val="0051625A"/>
    <w:rsid w:val="00530831"/>
    <w:rsid w:val="005379D1"/>
    <w:rsid w:val="00556605"/>
    <w:rsid w:val="0056260D"/>
    <w:rsid w:val="005708F1"/>
    <w:rsid w:val="005A2B8D"/>
    <w:rsid w:val="005A663A"/>
    <w:rsid w:val="005F51E4"/>
    <w:rsid w:val="006502B4"/>
    <w:rsid w:val="00657A5E"/>
    <w:rsid w:val="00665E9D"/>
    <w:rsid w:val="00671A84"/>
    <w:rsid w:val="006B3153"/>
    <w:rsid w:val="006B4166"/>
    <w:rsid w:val="006B495F"/>
    <w:rsid w:val="006D45EB"/>
    <w:rsid w:val="00740FEA"/>
    <w:rsid w:val="007520ED"/>
    <w:rsid w:val="007A5BFE"/>
    <w:rsid w:val="007D2EBB"/>
    <w:rsid w:val="00845061"/>
    <w:rsid w:val="008676E0"/>
    <w:rsid w:val="00876016"/>
    <w:rsid w:val="0088222E"/>
    <w:rsid w:val="008A397A"/>
    <w:rsid w:val="008C0EC5"/>
    <w:rsid w:val="008C1781"/>
    <w:rsid w:val="008F4F46"/>
    <w:rsid w:val="00906ACA"/>
    <w:rsid w:val="00920872"/>
    <w:rsid w:val="00935D3F"/>
    <w:rsid w:val="0095629B"/>
    <w:rsid w:val="00963447"/>
    <w:rsid w:val="00977661"/>
    <w:rsid w:val="009D1B8C"/>
    <w:rsid w:val="009E13C5"/>
    <w:rsid w:val="00A031FB"/>
    <w:rsid w:val="00A52C22"/>
    <w:rsid w:val="00A67CF4"/>
    <w:rsid w:val="00A74041"/>
    <w:rsid w:val="00AC28BC"/>
    <w:rsid w:val="00AC3FFB"/>
    <w:rsid w:val="00AE61DF"/>
    <w:rsid w:val="00AE7DF7"/>
    <w:rsid w:val="00B0179E"/>
    <w:rsid w:val="00B25E51"/>
    <w:rsid w:val="00B6132C"/>
    <w:rsid w:val="00B62191"/>
    <w:rsid w:val="00B77153"/>
    <w:rsid w:val="00B92030"/>
    <w:rsid w:val="00B96C18"/>
    <w:rsid w:val="00BA1DFC"/>
    <w:rsid w:val="00BB2A05"/>
    <w:rsid w:val="00C00036"/>
    <w:rsid w:val="00C30267"/>
    <w:rsid w:val="00C5794C"/>
    <w:rsid w:val="00C646BF"/>
    <w:rsid w:val="00C7043F"/>
    <w:rsid w:val="00C75A14"/>
    <w:rsid w:val="00CA42A4"/>
    <w:rsid w:val="00CC2D81"/>
    <w:rsid w:val="00CC709D"/>
    <w:rsid w:val="00CD1BA6"/>
    <w:rsid w:val="00CD4B4B"/>
    <w:rsid w:val="00CF001F"/>
    <w:rsid w:val="00D967B4"/>
    <w:rsid w:val="00DA471A"/>
    <w:rsid w:val="00DB4663"/>
    <w:rsid w:val="00DC6159"/>
    <w:rsid w:val="00E1077A"/>
    <w:rsid w:val="00E508FC"/>
    <w:rsid w:val="00E74970"/>
    <w:rsid w:val="00E82010"/>
    <w:rsid w:val="00EE1630"/>
    <w:rsid w:val="00EE24F7"/>
    <w:rsid w:val="00EE3429"/>
    <w:rsid w:val="00F265EA"/>
    <w:rsid w:val="00F47DEA"/>
    <w:rsid w:val="00F500CD"/>
    <w:rsid w:val="00F638BA"/>
    <w:rsid w:val="00F96F6B"/>
    <w:rsid w:val="00FA2171"/>
    <w:rsid w:val="00FA6916"/>
    <w:rsid w:val="00FB1524"/>
    <w:rsid w:val="00FB5771"/>
    <w:rsid w:val="00FC22D0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6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5A66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66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663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A663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2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49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6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D81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D8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D8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D8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57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08F1"/>
  </w:style>
  <w:style w:type="paragraph" w:styleId="Zpat">
    <w:name w:val="footer"/>
    <w:basedOn w:val="Normln"/>
    <w:link w:val="ZpatChar"/>
    <w:uiPriority w:val="99"/>
    <w:unhideWhenUsed/>
    <w:rsid w:val="0057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4992-1E49-4234-A495-DEC9DFE8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Pecanek 2</cp:lastModifiedBy>
  <cp:revision>3</cp:revision>
  <dcterms:created xsi:type="dcterms:W3CDTF">2017-04-25T11:16:00Z</dcterms:created>
  <dcterms:modified xsi:type="dcterms:W3CDTF">2017-04-25T11:41:00Z</dcterms:modified>
</cp:coreProperties>
</file>