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889" w:type="dxa"/>
        <w:tblLook w:val="04A0"/>
      </w:tblPr>
      <w:tblGrid>
        <w:gridCol w:w="2093"/>
        <w:gridCol w:w="7796"/>
      </w:tblGrid>
      <w:tr w:rsidR="005B1309" w:rsidTr="00B143B1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bookmarkStart w:id="0" w:name="_GoBack"/>
            <w:bookmarkEnd w:id="0"/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796" w:type="dxa"/>
          </w:tcPr>
          <w:p w:rsidR="005B1309" w:rsidRDefault="007A1F36" w:rsidP="007A1F36">
            <w:pPr>
              <w:rPr>
                <w:b/>
              </w:rPr>
            </w:pPr>
            <w:r>
              <w:rPr>
                <w:b/>
              </w:rPr>
              <w:t xml:space="preserve">Novela </w:t>
            </w:r>
            <w:r w:rsidRPr="007A1F36">
              <w:rPr>
                <w:b/>
              </w:rPr>
              <w:t>zákon</w:t>
            </w:r>
            <w:r>
              <w:rPr>
                <w:b/>
              </w:rPr>
              <w:t>a</w:t>
            </w:r>
            <w:r w:rsidRPr="007A1F36">
              <w:rPr>
                <w:b/>
              </w:rPr>
              <w:t xml:space="preserve"> č. 406/2000 Sb., o hospodaření energií</w:t>
            </w:r>
            <w:r>
              <w:rPr>
                <w:b/>
              </w:rPr>
              <w:t xml:space="preserve"> </w:t>
            </w:r>
            <w:r w:rsidRPr="007A1F36">
              <w:t xml:space="preserve">(návrh zveřejněný na stránkách </w:t>
            </w:r>
            <w:proofErr w:type="spellStart"/>
            <w:r w:rsidRPr="007A1F36">
              <w:t>HK</w:t>
            </w:r>
            <w:proofErr w:type="spellEnd"/>
            <w:r w:rsidRPr="007A1F36">
              <w:t xml:space="preserve"> ČR dne 24. 1. 2017)</w:t>
            </w:r>
          </w:p>
        </w:tc>
      </w:tr>
      <w:tr w:rsidR="005B1309" w:rsidTr="00B143B1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796" w:type="dxa"/>
          </w:tcPr>
          <w:p w:rsidR="005B1309" w:rsidRDefault="007A1F36" w:rsidP="00857009">
            <w:pPr>
              <w:rPr>
                <w:b/>
              </w:rPr>
            </w:pPr>
            <w:r>
              <w:rPr>
                <w:b/>
              </w:rPr>
              <w:t>František Fejgl</w:t>
            </w:r>
          </w:p>
          <w:p w:rsidR="007A1F36" w:rsidRDefault="007A1F36" w:rsidP="007A1F36">
            <w:pPr>
              <w:rPr>
                <w:b/>
              </w:rPr>
            </w:pPr>
            <w:r>
              <w:rPr>
                <w:b/>
              </w:rPr>
              <w:t>Tomáš Pecánek</w:t>
            </w:r>
          </w:p>
        </w:tc>
      </w:tr>
      <w:tr w:rsidR="005B1309" w:rsidTr="00B143B1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796" w:type="dxa"/>
          </w:tcPr>
          <w:p w:rsidR="005B1309" w:rsidRDefault="007A1F36" w:rsidP="00857009">
            <w:pPr>
              <w:rPr>
                <w:b/>
              </w:rPr>
            </w:pPr>
            <w:r>
              <w:rPr>
                <w:b/>
              </w:rPr>
              <w:t>+420 602 108 487</w:t>
            </w:r>
          </w:p>
          <w:p w:rsidR="007A1F36" w:rsidRDefault="007A1F36" w:rsidP="00857009">
            <w:pPr>
              <w:rPr>
                <w:b/>
              </w:rPr>
            </w:pPr>
            <w:r>
              <w:rPr>
                <w:b/>
              </w:rPr>
              <w:t>+420 602 560 771</w:t>
            </w:r>
          </w:p>
        </w:tc>
      </w:tr>
      <w:tr w:rsidR="005B1309" w:rsidTr="00B143B1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796" w:type="dxa"/>
          </w:tcPr>
          <w:p w:rsidR="005B1309" w:rsidRDefault="00D753A7" w:rsidP="00857009">
            <w:pPr>
              <w:rPr>
                <w:b/>
              </w:rPr>
            </w:pPr>
            <w:hyperlink r:id="rId8" w:history="1">
              <w:proofErr w:type="spellStart"/>
              <w:r w:rsidR="007A1F36" w:rsidRPr="00A95B32">
                <w:rPr>
                  <w:rStyle w:val="Hypertextovodkaz"/>
                  <w:b/>
                </w:rPr>
                <w:t>frantisek.fejgl</w:t>
              </w:r>
              <w:proofErr w:type="spellEnd"/>
              <w:r w:rsidR="007A1F36" w:rsidRPr="00A95B32">
                <w:rPr>
                  <w:rStyle w:val="Hypertextovodkaz"/>
                  <w:b/>
                </w:rPr>
                <w:t>@</w:t>
              </w:r>
              <w:proofErr w:type="spellStart"/>
              <w:r w:rsidR="007A1F36" w:rsidRPr="00A95B32">
                <w:rPr>
                  <w:rStyle w:val="Hypertextovodkaz"/>
                  <w:b/>
                </w:rPr>
                <w:t>innogy.com</w:t>
              </w:r>
              <w:proofErr w:type="spellEnd"/>
            </w:hyperlink>
          </w:p>
          <w:p w:rsidR="007A1F36" w:rsidRDefault="00D753A7" w:rsidP="007A1F36">
            <w:pPr>
              <w:rPr>
                <w:b/>
              </w:rPr>
            </w:pPr>
            <w:hyperlink r:id="rId9" w:history="1">
              <w:proofErr w:type="spellStart"/>
              <w:r w:rsidR="007A1F36" w:rsidRPr="00A95B32">
                <w:rPr>
                  <w:rStyle w:val="Hypertextovodkaz"/>
                  <w:b/>
                </w:rPr>
                <w:t>tomas.pecanek</w:t>
              </w:r>
              <w:proofErr w:type="spellEnd"/>
              <w:r w:rsidR="007A1F36" w:rsidRPr="00A95B32">
                <w:rPr>
                  <w:rStyle w:val="Hypertextovodkaz"/>
                  <w:b/>
                </w:rPr>
                <w:t>@</w:t>
              </w:r>
              <w:proofErr w:type="spellStart"/>
              <w:r w:rsidR="007A1F36" w:rsidRPr="00A95B32">
                <w:rPr>
                  <w:rStyle w:val="Hypertextovodkaz"/>
                  <w:b/>
                </w:rPr>
                <w:t>cgoa.cz</w:t>
              </w:r>
              <w:proofErr w:type="spellEnd"/>
            </w:hyperlink>
            <w:r w:rsidR="007A1F36">
              <w:rPr>
                <w:b/>
              </w:rPr>
              <w:t xml:space="preserve"> </w:t>
            </w:r>
          </w:p>
        </w:tc>
      </w:tr>
    </w:tbl>
    <w:p w:rsidR="004566CD" w:rsidRDefault="004566CD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566CD" w:rsidRDefault="004566CD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566CD" w:rsidRDefault="004566CD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D5CCD" w:rsidRPr="004566CD" w:rsidRDefault="004566CD" w:rsidP="004566CD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  <w:t>Z</w:t>
      </w:r>
      <w:r w:rsidR="001F5CD7">
        <w:rPr>
          <w:b/>
        </w:rPr>
        <w:t>Á</w:t>
      </w:r>
      <w:r w:rsidR="00DC3EB8" w:rsidRPr="004566CD">
        <w:rPr>
          <w:b/>
        </w:rPr>
        <w:t xml:space="preserve">SADNÍ </w:t>
      </w:r>
      <w:r w:rsidR="004D5CCD" w:rsidRPr="004566CD">
        <w:rPr>
          <w:b/>
        </w:rPr>
        <w:t>KONKRÉTNÍ PŘIPOMÍNK</w:t>
      </w:r>
      <w:r w:rsidR="0032279B" w:rsidRPr="004566CD">
        <w:rPr>
          <w:b/>
        </w:rPr>
        <w:t>Y</w:t>
      </w:r>
    </w:p>
    <w:p w:rsidR="00950081" w:rsidRPr="001F5CD7" w:rsidRDefault="00950081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1F5CD7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 w:rsidR="001F4636">
        <w:rPr>
          <w:b/>
        </w:rPr>
        <w:t xml:space="preserve"> </w:t>
      </w:r>
      <w:r w:rsidR="001F5CD7" w:rsidRPr="001F5CD7">
        <w:rPr>
          <w:b/>
        </w:rPr>
        <w:t>§ 2 písm. n) - definice energetického auditu</w:t>
      </w: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 § 2 písm. n) navrhujeme definici energetického auditu upravit následovně:</w:t>
      </w: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Cs/>
          <w:i/>
        </w:rPr>
      </w:pPr>
      <w:r w:rsidRPr="00FD1764">
        <w:rPr>
          <w:b/>
          <w:bCs/>
          <w:i/>
        </w:rPr>
        <w:t>n) energetickým auditem systematický postup za účelem získání dostatečných znalostí o stávajícím užití a spotřebě energie v energetickém hospodářství a analýza energetického hospodářství, na základě nichž lze identifikovat a kvantifikovat možnosti nákla</w:t>
      </w:r>
      <w:r>
        <w:rPr>
          <w:b/>
          <w:bCs/>
          <w:i/>
        </w:rPr>
        <w:t>dově efektivní úspory energie a</w:t>
      </w:r>
      <w:r w:rsidRPr="00FD1764">
        <w:rPr>
          <w:b/>
          <w:bCs/>
          <w:i/>
        </w:rPr>
        <w:t xml:space="preserve"> jejichž výstupem je písemná zpráva</w:t>
      </w:r>
      <w:r w:rsidRPr="00D753F7">
        <w:rPr>
          <w:bCs/>
          <w:i/>
        </w:rPr>
        <w:t>,</w:t>
      </w: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  <w:r w:rsidRPr="00FD1764">
        <w:rPr>
          <w:u w:val="single"/>
        </w:rPr>
        <w:t>Úplné znění s vyznačením změn:</w:t>
      </w:r>
    </w:p>
    <w:p w:rsidR="001F5CD7" w:rsidRDefault="001F5CD7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D753F7">
        <w:rPr>
          <w:bCs/>
          <w:i/>
        </w:rPr>
        <w:t xml:space="preserve">n) energetickým auditem </w:t>
      </w:r>
      <w:r w:rsidRPr="00D753F7">
        <w:rPr>
          <w:bCs/>
          <w:i/>
          <w:strike/>
        </w:rPr>
        <w:t>systematická kontrola a analýza</w:t>
      </w:r>
      <w:r w:rsidRPr="00D753F7">
        <w:rPr>
          <w:bCs/>
          <w:i/>
        </w:rPr>
        <w:t xml:space="preserve"> </w:t>
      </w:r>
      <w:r w:rsidRPr="00D753F7">
        <w:rPr>
          <w:b/>
          <w:bCs/>
          <w:i/>
        </w:rPr>
        <w:t xml:space="preserve">systematický postup za účelem získání dostatečných znalostí o stávajícím </w:t>
      </w:r>
      <w:r w:rsidRPr="00D753F7">
        <w:rPr>
          <w:bCs/>
          <w:i/>
        </w:rPr>
        <w:t xml:space="preserve">užití a </w:t>
      </w:r>
      <w:r w:rsidRPr="00D753F7">
        <w:rPr>
          <w:bCs/>
          <w:i/>
          <w:strike/>
        </w:rPr>
        <w:t>spotřeby</w:t>
      </w:r>
      <w:r w:rsidRPr="00D753F7">
        <w:rPr>
          <w:bCs/>
          <w:i/>
        </w:rPr>
        <w:t xml:space="preserve"> spotřebě energie v energetickém hospodářství </w:t>
      </w:r>
      <w:r w:rsidRPr="00D753F7">
        <w:rPr>
          <w:b/>
          <w:bCs/>
          <w:i/>
        </w:rPr>
        <w:t xml:space="preserve">a analýza energetického hospodářství, na základě nichž </w:t>
      </w:r>
      <w:proofErr w:type="gramStart"/>
      <w:r w:rsidRPr="00D753F7">
        <w:rPr>
          <w:b/>
          <w:bCs/>
          <w:i/>
        </w:rPr>
        <w:t>lze</w:t>
      </w:r>
      <w:r>
        <w:rPr>
          <w:b/>
          <w:bCs/>
          <w:i/>
        </w:rPr>
        <w:t xml:space="preserve"> </w:t>
      </w:r>
      <w:r w:rsidRPr="00D753F7">
        <w:rPr>
          <w:bCs/>
          <w:i/>
          <w:strike/>
        </w:rPr>
        <w:t>která</w:t>
      </w:r>
      <w:proofErr w:type="gramEnd"/>
      <w:r w:rsidRPr="00D753F7">
        <w:rPr>
          <w:bCs/>
          <w:i/>
          <w:strike/>
        </w:rPr>
        <w:t xml:space="preserve"> umožní</w:t>
      </w:r>
      <w:r w:rsidRPr="00D753F7">
        <w:rPr>
          <w:bCs/>
          <w:i/>
        </w:rPr>
        <w:t xml:space="preserve"> identifikovat a kvantifikovat možnosti nákladově efektivní úspory energie a </w:t>
      </w:r>
      <w:r w:rsidRPr="00D753F7">
        <w:rPr>
          <w:bCs/>
          <w:i/>
          <w:strike/>
        </w:rPr>
        <w:t>jehož</w:t>
      </w:r>
      <w:r w:rsidRPr="00D753F7">
        <w:rPr>
          <w:bCs/>
          <w:i/>
        </w:rPr>
        <w:t xml:space="preserve"> </w:t>
      </w:r>
      <w:r w:rsidRPr="00D753F7">
        <w:rPr>
          <w:b/>
          <w:bCs/>
          <w:i/>
        </w:rPr>
        <w:t>jejichž</w:t>
      </w:r>
      <w:r w:rsidRPr="00D753F7">
        <w:rPr>
          <w:bCs/>
          <w:i/>
        </w:rPr>
        <w:t xml:space="preserve"> výstupem je písemná zpráva,</w:t>
      </w:r>
    </w:p>
    <w:p w:rsidR="00E02E9C" w:rsidRPr="001F5CD7" w:rsidRDefault="00E02E9C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</w:p>
    <w:p w:rsidR="001F5CD7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>důvodnění: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 předloženém návrhu definice energetického auditu je podle našeho názoru značně zavádějící pojem „systematická kontrola“, který evokuje to, že se jedná o neustálý neboli kontinuální proces (v praxi je i v tomto smyslu používán), což v tomto případě není pravda. Vedle toho v předloženém návrhu definice absentuje to, že se při provádění auditu musí primárně získat informace </w:t>
      </w:r>
      <w:r w:rsidRPr="002F409E">
        <w:t>„</w:t>
      </w:r>
      <w:r w:rsidRPr="002F409E">
        <w:rPr>
          <w:bCs/>
        </w:rPr>
        <w:t>o stávajícím užití a spotřebě energie v energetickém hospodářství“</w:t>
      </w:r>
      <w:r>
        <w:rPr>
          <w:bCs/>
          <w:i/>
        </w:rPr>
        <w:t xml:space="preserve"> </w:t>
      </w:r>
      <w:r w:rsidRPr="002F409E">
        <w:rPr>
          <w:bCs/>
        </w:rPr>
        <w:t xml:space="preserve">a </w:t>
      </w:r>
      <w:r>
        <w:rPr>
          <w:bCs/>
        </w:rPr>
        <w:t xml:space="preserve">teprve </w:t>
      </w:r>
      <w:r w:rsidRPr="002F409E">
        <w:rPr>
          <w:bCs/>
        </w:rPr>
        <w:t xml:space="preserve">následně </w:t>
      </w:r>
      <w:r>
        <w:rPr>
          <w:bCs/>
        </w:rPr>
        <w:t xml:space="preserve">lze provést jejich analýzu, na základě </w:t>
      </w:r>
      <w:r w:rsidRPr="007A61FC">
        <w:rPr>
          <w:bCs/>
        </w:rPr>
        <w:t>nichž lze identifikovat a kvantifikovat možnosti nákladově efektivní úspory energie.</w:t>
      </w:r>
      <w:r w:rsidRPr="007A61FC">
        <w:t xml:space="preserve"> </w:t>
      </w:r>
      <w:r>
        <w:t>V </w:t>
      </w:r>
      <w:proofErr w:type="gramStart"/>
      <w:r>
        <w:t>námi</w:t>
      </w:r>
      <w:proofErr w:type="gramEnd"/>
      <w:r>
        <w:t xml:space="preserve"> navrhované úpravě jsme využili první část definice energetického auditu ze směrnice 2012/27/EU.</w:t>
      </w:r>
    </w:p>
    <w:p w:rsidR="001F5CD7" w:rsidRP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  <w:r>
        <w:t>Cílem tohoto návrhu je zpřesnění definice tak, aby lépe vystihovala obsah auditu.</w:t>
      </w:r>
    </w:p>
    <w:p w:rsidR="001F5CD7" w:rsidRPr="001F5CD7" w:rsidRDefault="001F5CD7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>
        <w:rPr>
          <w:b/>
        </w:rPr>
        <w:t xml:space="preserve"> </w:t>
      </w:r>
      <w:r w:rsidRPr="001F5CD7">
        <w:rPr>
          <w:b/>
        </w:rPr>
        <w:t xml:space="preserve">§ </w:t>
      </w:r>
      <w:proofErr w:type="spellStart"/>
      <w:r>
        <w:rPr>
          <w:b/>
        </w:rPr>
        <w:t>6a</w:t>
      </w:r>
      <w:proofErr w:type="spellEnd"/>
      <w:r>
        <w:rPr>
          <w:b/>
        </w:rPr>
        <w:t xml:space="preserve"> odst. 1 – zpřesnění kontroly kotlů nad 20 kW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 § </w:t>
      </w:r>
      <w:proofErr w:type="spellStart"/>
      <w:r>
        <w:t>6a</w:t>
      </w:r>
      <w:proofErr w:type="spellEnd"/>
      <w:r>
        <w:t xml:space="preserve"> odst. 1 navrhujeme za slova „tepelné energie“ vložit slova „sloužících k </w:t>
      </w:r>
      <w:r w:rsidR="00303DEE">
        <w:t>vytápění</w:t>
      </w:r>
      <w:r>
        <w:t xml:space="preserve"> budov“.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  <w:r w:rsidRPr="00FD1764">
        <w:rPr>
          <w:u w:val="single"/>
        </w:rPr>
        <w:t>Úplné znění s vyznačením změn: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Cs/>
          <w:i/>
        </w:rPr>
      </w:pPr>
      <w:r w:rsidRPr="0062492B">
        <w:rPr>
          <w:bCs/>
          <w:i/>
        </w:rPr>
        <w:t xml:space="preserve">(1) U provozovaných kotlů se jmenovitým výkonem nad 20 kW a příslušných rozvodů tepelné energie, </w:t>
      </w:r>
      <w:r w:rsidRPr="0062492B">
        <w:rPr>
          <w:b/>
          <w:bCs/>
          <w:i/>
        </w:rPr>
        <w:t>sloužících k </w:t>
      </w:r>
      <w:r w:rsidR="00303DEE">
        <w:rPr>
          <w:b/>
          <w:bCs/>
          <w:i/>
        </w:rPr>
        <w:t>vytápění</w:t>
      </w:r>
      <w:r w:rsidRPr="0062492B">
        <w:rPr>
          <w:b/>
          <w:bCs/>
          <w:i/>
        </w:rPr>
        <w:t xml:space="preserve"> budov</w:t>
      </w:r>
      <w:r w:rsidRPr="0062492B">
        <w:rPr>
          <w:bCs/>
          <w:i/>
        </w:rPr>
        <w:t xml:space="preserve"> je jejich vlastník nebo společenství vlastníků </w:t>
      </w:r>
      <w:proofErr w:type="spellStart"/>
      <w:r w:rsidRPr="0062492B">
        <w:rPr>
          <w:bCs/>
          <w:i/>
        </w:rPr>
        <w:t>jednotek</w:t>
      </w:r>
      <w:r w:rsidRPr="0062492B">
        <w:rPr>
          <w:bCs/>
          <w:i/>
          <w:vertAlign w:val="superscript"/>
        </w:rPr>
        <w:t>5</w:t>
      </w:r>
      <w:proofErr w:type="spellEnd"/>
      <w:r w:rsidRPr="0062492B">
        <w:rPr>
          <w:bCs/>
          <w:i/>
          <w:vertAlign w:val="superscript"/>
        </w:rPr>
        <w:t>)</w:t>
      </w:r>
      <w:r w:rsidRPr="0062492B">
        <w:rPr>
          <w:bCs/>
          <w:i/>
        </w:rPr>
        <w:t xml:space="preserve"> povinen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</w:p>
    <w:p w:rsidR="001F5CD7" w:rsidRPr="001F5CD7" w:rsidRDefault="001F5CD7" w:rsidP="001F5CD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F5CD7">
        <w:rPr>
          <w:b/>
        </w:rPr>
        <w:t>Odůvodnění:</w:t>
      </w:r>
    </w:p>
    <w:p w:rsidR="001F5CD7" w:rsidRDefault="00303DEE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303DEE">
        <w:t>Záměrem čl. 14 směrnice 2010/31/EU je stanovit nezbytná opatření k zavedení pravidelné inspekce přístupných částí soustav používaných k vytápění budov, jako jsou zdroje tepla, řídicí systémy a oběhová čerpadla, s kotli se jmenovitým výkonem pro účely v</w:t>
      </w:r>
      <w:r>
        <w:t>ytápění budov vyšším než 20 kW.</w:t>
      </w:r>
      <w:r w:rsidRPr="00303DEE">
        <w:t xml:space="preserve"> Proto by se dle našeho názoru toto stávající ustanovení zákona č. 406/2009 Sb.</w:t>
      </w:r>
      <w:r>
        <w:t xml:space="preserve"> </w:t>
      </w:r>
      <w:r w:rsidR="001F5CD7">
        <w:t xml:space="preserve">nemělo vztahovat na kotle s výkonem nad 20 kW, </w:t>
      </w:r>
      <w:r w:rsidR="001F5CD7" w:rsidRPr="00E36B99">
        <w:t>používané pro technologické účely</w:t>
      </w:r>
      <w:r w:rsidR="001F5CD7">
        <w:rPr>
          <w:b/>
        </w:rPr>
        <w:t xml:space="preserve"> </w:t>
      </w:r>
      <w:r w:rsidR="001F5CD7" w:rsidRPr="00547076">
        <w:t xml:space="preserve">jako </w:t>
      </w:r>
      <w:r w:rsidR="001F5CD7">
        <w:t xml:space="preserve">například pro předehřev plynu v regulačních stanicích, které jsou kontrolovány podle jiných předpisů a v souladu s podmínkami výrobce (jsou kontrolovány servisním technikem, který je proškolen výrobcem). Jejich kontrola dle vyhlášky č. 194/2013 Sb. ze strany energetického specialisty v intervalu </w:t>
      </w:r>
      <w:proofErr w:type="spellStart"/>
      <w:r w:rsidR="001F5CD7">
        <w:t>1x</w:t>
      </w:r>
      <w:proofErr w:type="spellEnd"/>
      <w:r w:rsidR="001F5CD7">
        <w:t xml:space="preserve"> za 10 let (u kotlů do 100 kW) nebo </w:t>
      </w:r>
      <w:proofErr w:type="spellStart"/>
      <w:r w:rsidR="001F5CD7">
        <w:t>1x</w:t>
      </w:r>
      <w:proofErr w:type="spellEnd"/>
      <w:r w:rsidR="001F5CD7">
        <w:t xml:space="preserve"> za 4 roky (u kotlů nad 100 kW) nemá žádnou přidanou hodnotu. Přitom z výše zmíněné vyhlášky na </w:t>
      </w:r>
      <w:r w:rsidR="001F5CD7">
        <w:lastRenderedPageBreak/>
        <w:t>základě způsobu provádění kontrol a zejména dle obsahu zprávy o kontrole je zřejmé, že jde o kotle určené k </w:t>
      </w:r>
      <w:r>
        <w:t>vytápění</w:t>
      </w:r>
      <w:r w:rsidR="001F5CD7">
        <w:t xml:space="preserve"> budov, neboť povinnými údaji zprávy mimo jiné jsou: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a) identifikační údaje o budově, kotli a rozvodech tepelné energie,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b) podrobný popis budovy, kotle a rozvodů tepelné energie.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Proto navrhujeme výše uvedené zpřesnění, aby bylo jednoznačné, že jde o kontroly kotlů pro </w:t>
      </w:r>
      <w:r w:rsidR="00303DEE">
        <w:t>vytápění</w:t>
      </w:r>
      <w:r>
        <w:t xml:space="preserve"> budov v souladu se zněním prováděcí vyhlášky.</w:t>
      </w:r>
    </w:p>
    <w:p w:rsidR="001F5CD7" w:rsidRDefault="001F5CD7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>Připomínka k</w:t>
      </w:r>
      <w:r>
        <w:rPr>
          <w:b/>
        </w:rPr>
        <w:t xml:space="preserve"> </w:t>
      </w:r>
      <w:r w:rsidRPr="001F5CD7">
        <w:rPr>
          <w:b/>
        </w:rPr>
        <w:t xml:space="preserve">§ </w:t>
      </w:r>
      <w:proofErr w:type="spellStart"/>
      <w:r>
        <w:rPr>
          <w:b/>
        </w:rPr>
        <w:t>10e</w:t>
      </w:r>
      <w:proofErr w:type="spellEnd"/>
      <w:r>
        <w:rPr>
          <w:b/>
        </w:rPr>
        <w:t xml:space="preserve"> </w:t>
      </w:r>
      <w:r w:rsidRPr="007E7260">
        <w:rPr>
          <w:b/>
        </w:rPr>
        <w:t>odst. 6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 § </w:t>
      </w:r>
      <w:proofErr w:type="spellStart"/>
      <w:r w:rsidR="00B143B1">
        <w:t>10e</w:t>
      </w:r>
      <w:proofErr w:type="spellEnd"/>
      <w:r w:rsidR="00B143B1">
        <w:t xml:space="preserve"> </w:t>
      </w:r>
      <w:r>
        <w:t xml:space="preserve">odst. </w:t>
      </w:r>
      <w:r w:rsidR="00B143B1">
        <w:t>6</w:t>
      </w:r>
      <w:r>
        <w:t xml:space="preserve"> navrhujeme </w:t>
      </w:r>
      <w:r w:rsidR="00B143B1">
        <w:t>uvést text do souladu s číslováním.</w:t>
      </w: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1F5CD7" w:rsidRDefault="001F5CD7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u w:val="single"/>
        </w:rPr>
      </w:pPr>
      <w:r w:rsidRPr="00FD1764">
        <w:rPr>
          <w:u w:val="single"/>
        </w:rPr>
        <w:t>Úplné znění s vyznačením změn:</w:t>
      </w:r>
    </w:p>
    <w:p w:rsidR="00B143B1" w:rsidRPr="00B143B1" w:rsidRDefault="00B143B1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Cs/>
          <w:i/>
        </w:rPr>
      </w:pPr>
      <w:r w:rsidRPr="00B143B1">
        <w:rPr>
          <w:i/>
        </w:rPr>
        <w:t xml:space="preserve">(6) Smlouva o energetických službách podle odstavce </w:t>
      </w:r>
      <w:r w:rsidRPr="00B143B1">
        <w:rPr>
          <w:i/>
          <w:strike/>
        </w:rPr>
        <w:t>2 písm. b)</w:t>
      </w:r>
      <w:r w:rsidRPr="00B143B1">
        <w:rPr>
          <w:i/>
        </w:rPr>
        <w:t xml:space="preserve"> </w:t>
      </w:r>
      <w:r w:rsidRPr="00B143B1">
        <w:rPr>
          <w:b/>
          <w:i/>
        </w:rPr>
        <w:t>3</w:t>
      </w:r>
      <w:r w:rsidRPr="00B143B1">
        <w:rPr>
          <w:i/>
        </w:rPr>
        <w:t xml:space="preserve"> musí být písemná a musí obsahovat náležitosti podle odstavce </w:t>
      </w:r>
      <w:r w:rsidRPr="00B143B1">
        <w:rPr>
          <w:i/>
          <w:strike/>
        </w:rPr>
        <w:t>3</w:t>
      </w:r>
      <w:r w:rsidRPr="00B143B1">
        <w:rPr>
          <w:i/>
        </w:rPr>
        <w:t xml:space="preserve"> </w:t>
      </w:r>
      <w:r w:rsidRPr="00B143B1">
        <w:rPr>
          <w:b/>
          <w:i/>
        </w:rPr>
        <w:t>5</w:t>
      </w:r>
      <w:r w:rsidRPr="00B143B1">
        <w:rPr>
          <w:i/>
        </w:rPr>
        <w:t xml:space="preserve"> písm. a) až e) a g).</w:t>
      </w:r>
    </w:p>
    <w:p w:rsidR="00B143B1" w:rsidRDefault="00B143B1" w:rsidP="001F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Cs/>
          <w:i/>
        </w:rPr>
      </w:pPr>
    </w:p>
    <w:p w:rsidR="001F5CD7" w:rsidRPr="001F5CD7" w:rsidRDefault="001F5CD7" w:rsidP="001F5CD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1F5CD7">
        <w:rPr>
          <w:b/>
        </w:rPr>
        <w:t>Odůvodnění:</w:t>
      </w:r>
    </w:p>
    <w:p w:rsidR="001F5CD7" w:rsidRDefault="00B143B1" w:rsidP="00B1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B143B1">
        <w:t>Smlouva o energetických službách je definována v odstavci 3 nikoliv 2 písm. b) a náležitosti smlouvy nejsou uvedeny v odstavci 3 ale v odst. 5.</w:t>
      </w:r>
    </w:p>
    <w:p w:rsidR="001F5CD7" w:rsidRDefault="001F5CD7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1F5CD7" w:rsidRDefault="001F5CD7" w:rsidP="001F5CD7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P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  <w:rPr>
          <w:b/>
        </w:rPr>
      </w:pPr>
      <w:r w:rsidRPr="00B143B1">
        <w:rPr>
          <w:b/>
        </w:rPr>
        <w:t>D.</w:t>
      </w:r>
      <w:r w:rsidRPr="00B143B1">
        <w:rPr>
          <w:b/>
        </w:rPr>
        <w:tab/>
      </w:r>
      <w:r w:rsidR="00DC3EB8" w:rsidRPr="00B143B1">
        <w:rPr>
          <w:b/>
        </w:rPr>
        <w:t>DOPORUČUJÍCÍ PŘIPOMÍNKY</w:t>
      </w:r>
    </w:p>
    <w:p w:rsidR="00DC3EB8" w:rsidRPr="00B143B1" w:rsidRDefault="00DC3EB8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77211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E02E9C">
        <w:rPr>
          <w:b/>
        </w:rPr>
        <w:t xml:space="preserve">Připomínka k </w:t>
      </w:r>
      <w:proofErr w:type="spellStart"/>
      <w:r w:rsidR="00B143B1" w:rsidRPr="007E7260">
        <w:rPr>
          <w:b/>
        </w:rPr>
        <w:t>10e</w:t>
      </w:r>
      <w:proofErr w:type="spellEnd"/>
      <w:r w:rsidR="00B143B1" w:rsidRPr="007E7260">
        <w:rPr>
          <w:b/>
        </w:rPr>
        <w:t xml:space="preserve"> odst. 5 – obsah smlouvy o energetických službách</w:t>
      </w:r>
    </w:p>
    <w:p w:rsidR="00B143B1" w:rsidRPr="00B143B1" w:rsidRDefault="00B143B1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B143B1" w:rsidRPr="00B143B1" w:rsidRDefault="00B143B1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FF1A7D">
        <w:t>Rozsah náležitostí smlouvy o energetické službě považujeme za zbytečně rozsáhlý a není zřejmé, proč je tato smlouva tak tvrdě legislativně regulována, když jde o soukromoprávní vztah. Podle našeho názoru základní obsah smlouvy je určen v nových odst. 3 a 4 a to by mělo být dostačující. Proto doporučujeme odst. 5 a v návaznosti na to i odst. 6 vypustit.</w:t>
      </w:r>
    </w:p>
    <w:p w:rsidR="0048475A" w:rsidRDefault="0048475A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</w:p>
    <w:p w:rsidR="00B143B1" w:rsidRPr="00B143B1" w:rsidRDefault="00B143B1" w:rsidP="00B143B1">
      <w:pPr>
        <w:tabs>
          <w:tab w:val="left" w:pos="567"/>
        </w:tabs>
        <w:spacing w:after="0" w:line="240" w:lineRule="auto"/>
        <w:contextualSpacing/>
        <w:jc w:val="both"/>
      </w:pPr>
      <w:r>
        <w:t>Praha 8. 2. 2017</w:t>
      </w:r>
    </w:p>
    <w:sectPr w:rsidR="00B143B1" w:rsidRPr="00B143B1" w:rsidSect="00B143B1">
      <w:footerReference w:type="default" r:id="rId10"/>
      <w:headerReference w:type="first" r:id="rId11"/>
      <w:pgSz w:w="11906" w:h="16838" w:code="9"/>
      <w:pgMar w:top="1962" w:right="1133" w:bottom="992" w:left="1134" w:header="709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D1" w:rsidRDefault="001E26D1" w:rsidP="007A1F36">
      <w:pPr>
        <w:spacing w:after="0" w:line="240" w:lineRule="auto"/>
      </w:pPr>
      <w:r>
        <w:separator/>
      </w:r>
    </w:p>
  </w:endnote>
  <w:endnote w:type="continuationSeparator" w:id="0">
    <w:p w:rsidR="001E26D1" w:rsidRDefault="001E26D1" w:rsidP="007A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36" w:rsidRDefault="007A1F36">
    <w:pPr>
      <w:pStyle w:val="Zpat"/>
      <w:jc w:val="center"/>
    </w:pPr>
  </w:p>
  <w:p w:rsidR="007A1F36" w:rsidRDefault="00D753A7">
    <w:pPr>
      <w:pStyle w:val="Zpat"/>
      <w:jc w:val="center"/>
    </w:pPr>
    <w:sdt>
      <w:sdtPr>
        <w:id w:val="21247586"/>
        <w:docPartObj>
          <w:docPartGallery w:val="Page Numbers (Bottom of Page)"/>
          <w:docPartUnique/>
        </w:docPartObj>
      </w:sdtPr>
      <w:sdtContent>
        <w:fldSimple w:instr=" PAGE   \* MERGEFORMAT ">
          <w:r w:rsidR="0017281E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D1" w:rsidRDefault="001E26D1" w:rsidP="007A1F36">
      <w:pPr>
        <w:spacing w:after="0" w:line="240" w:lineRule="auto"/>
      </w:pPr>
      <w:r>
        <w:separator/>
      </w:r>
    </w:p>
  </w:footnote>
  <w:footnote w:type="continuationSeparator" w:id="0">
    <w:p w:rsidR="001E26D1" w:rsidRDefault="001E26D1" w:rsidP="007A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36" w:rsidRDefault="007A1F36">
    <w:pPr>
      <w:pStyle w:val="Zhlav"/>
    </w:pPr>
    <w:r w:rsidRPr="007A1F36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1537970</wp:posOffset>
          </wp:positionH>
          <wp:positionV relativeFrom="paragraph">
            <wp:posOffset>-59690</wp:posOffset>
          </wp:positionV>
          <wp:extent cx="2695575" cy="695325"/>
          <wp:effectExtent l="19050" t="0" r="9525" b="0"/>
          <wp:wrapSquare wrapText="bothSides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85B92"/>
    <w:rsid w:val="000B5F11"/>
    <w:rsid w:val="00102933"/>
    <w:rsid w:val="001326A7"/>
    <w:rsid w:val="0017281E"/>
    <w:rsid w:val="00193D68"/>
    <w:rsid w:val="001B5C83"/>
    <w:rsid w:val="001E26D1"/>
    <w:rsid w:val="001E276E"/>
    <w:rsid w:val="001F4636"/>
    <w:rsid w:val="001F5CD7"/>
    <w:rsid w:val="00241F59"/>
    <w:rsid w:val="002515A5"/>
    <w:rsid w:val="00263AFD"/>
    <w:rsid w:val="00276473"/>
    <w:rsid w:val="002B3746"/>
    <w:rsid w:val="002F2828"/>
    <w:rsid w:val="002F792F"/>
    <w:rsid w:val="00302F26"/>
    <w:rsid w:val="00303DEE"/>
    <w:rsid w:val="0032279B"/>
    <w:rsid w:val="00324F39"/>
    <w:rsid w:val="003535F1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566CD"/>
    <w:rsid w:val="0048475A"/>
    <w:rsid w:val="00493533"/>
    <w:rsid w:val="004D5CCD"/>
    <w:rsid w:val="00503560"/>
    <w:rsid w:val="00535CAD"/>
    <w:rsid w:val="00552556"/>
    <w:rsid w:val="005664DD"/>
    <w:rsid w:val="00595359"/>
    <w:rsid w:val="005B1309"/>
    <w:rsid w:val="005C70D0"/>
    <w:rsid w:val="00663593"/>
    <w:rsid w:val="00674FEE"/>
    <w:rsid w:val="00691289"/>
    <w:rsid w:val="006B3E64"/>
    <w:rsid w:val="006C7CE9"/>
    <w:rsid w:val="006E3A8F"/>
    <w:rsid w:val="007069C5"/>
    <w:rsid w:val="00750FFB"/>
    <w:rsid w:val="0077211F"/>
    <w:rsid w:val="0078571A"/>
    <w:rsid w:val="007A1F36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72C42"/>
    <w:rsid w:val="009A08CE"/>
    <w:rsid w:val="009B3460"/>
    <w:rsid w:val="009C28C1"/>
    <w:rsid w:val="00A0284F"/>
    <w:rsid w:val="00A45A4F"/>
    <w:rsid w:val="00AC3D97"/>
    <w:rsid w:val="00AC6BB7"/>
    <w:rsid w:val="00AD4F46"/>
    <w:rsid w:val="00B143B1"/>
    <w:rsid w:val="00B40EC9"/>
    <w:rsid w:val="00B74108"/>
    <w:rsid w:val="00BA05C8"/>
    <w:rsid w:val="00BF710E"/>
    <w:rsid w:val="00C002C0"/>
    <w:rsid w:val="00C16795"/>
    <w:rsid w:val="00C23AC1"/>
    <w:rsid w:val="00C3752E"/>
    <w:rsid w:val="00C77C40"/>
    <w:rsid w:val="00C82487"/>
    <w:rsid w:val="00CE2836"/>
    <w:rsid w:val="00D23F90"/>
    <w:rsid w:val="00D753A7"/>
    <w:rsid w:val="00DA1C38"/>
    <w:rsid w:val="00DC3EB8"/>
    <w:rsid w:val="00DD3281"/>
    <w:rsid w:val="00DE3A9D"/>
    <w:rsid w:val="00DE762E"/>
    <w:rsid w:val="00E009BA"/>
    <w:rsid w:val="00E01DF3"/>
    <w:rsid w:val="00E02E9C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1F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A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F36"/>
  </w:style>
  <w:style w:type="paragraph" w:styleId="Zpat">
    <w:name w:val="footer"/>
    <w:basedOn w:val="Normln"/>
    <w:link w:val="ZpatChar"/>
    <w:uiPriority w:val="99"/>
    <w:unhideWhenUsed/>
    <w:rsid w:val="007A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F36"/>
  </w:style>
  <w:style w:type="paragraph" w:styleId="Textbubliny">
    <w:name w:val="Balloon Text"/>
    <w:basedOn w:val="Normln"/>
    <w:link w:val="TextbublinyChar"/>
    <w:uiPriority w:val="99"/>
    <w:semiHidden/>
    <w:unhideWhenUsed/>
    <w:rsid w:val="007A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fejgl@innog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pecanek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F1C4-A620-4BC3-8262-7A9F35CF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2017-02-09T09:29:00Z</dcterms:created>
  <dcterms:modified xsi:type="dcterms:W3CDTF">2017-02-10T08:25:00Z</dcterms:modified>
</cp:coreProperties>
</file>