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049" w:rsidRDefault="00E94049" w:rsidP="0038082D">
      <w:pPr>
        <w:jc w:val="center"/>
        <w:rPr>
          <w:rFonts w:ascii="Arial" w:hAnsi="Arial" w:cs="Arial"/>
          <w:b/>
          <w:bCs/>
          <w:sz w:val="24"/>
          <w:szCs w:val="24"/>
          <w:u w:val="single"/>
        </w:rPr>
      </w:pPr>
    </w:p>
    <w:p w:rsidR="00E94049" w:rsidRDefault="00E94049" w:rsidP="0038082D">
      <w:pPr>
        <w:jc w:val="center"/>
        <w:rPr>
          <w:rFonts w:ascii="Arial" w:hAnsi="Arial" w:cs="Arial"/>
          <w:b/>
          <w:bCs/>
          <w:sz w:val="24"/>
          <w:szCs w:val="24"/>
          <w:u w:val="single"/>
        </w:rPr>
      </w:pPr>
    </w:p>
    <w:p w:rsidR="000264A6" w:rsidRPr="00584CCC" w:rsidRDefault="000264A6" w:rsidP="0038082D">
      <w:pPr>
        <w:jc w:val="center"/>
        <w:rPr>
          <w:rFonts w:ascii="Arial" w:hAnsi="Arial" w:cs="Arial"/>
          <w:b/>
          <w:bCs/>
          <w:sz w:val="24"/>
          <w:szCs w:val="24"/>
          <w:u w:val="single"/>
        </w:rPr>
      </w:pPr>
      <w:r w:rsidRPr="00584CCC">
        <w:rPr>
          <w:rFonts w:ascii="Arial" w:hAnsi="Arial" w:cs="Arial"/>
          <w:b/>
          <w:bCs/>
          <w:sz w:val="24"/>
          <w:szCs w:val="24"/>
          <w:u w:val="single"/>
        </w:rPr>
        <w:t>Předběžné připomínky Českého plynárenského svazu k tzv. zimnímu balíčku</w:t>
      </w:r>
    </w:p>
    <w:p w:rsidR="00BE38E7" w:rsidRDefault="00BE38E7" w:rsidP="0038082D">
      <w:pPr>
        <w:jc w:val="both"/>
        <w:rPr>
          <w:rFonts w:ascii="Arial" w:hAnsi="Arial" w:cs="Arial"/>
          <w:b/>
          <w:bCs/>
          <w:sz w:val="24"/>
          <w:szCs w:val="24"/>
        </w:rPr>
      </w:pPr>
    </w:p>
    <w:p w:rsidR="00E94049" w:rsidRPr="00766112" w:rsidRDefault="00E94049" w:rsidP="0038082D">
      <w:pPr>
        <w:jc w:val="both"/>
        <w:rPr>
          <w:rFonts w:ascii="Arial" w:hAnsi="Arial" w:cs="Arial"/>
          <w:b/>
          <w:bCs/>
          <w:sz w:val="24"/>
          <w:szCs w:val="24"/>
        </w:rPr>
      </w:pPr>
    </w:p>
    <w:p w:rsidR="00B802F7" w:rsidRDefault="00940D00" w:rsidP="00E94049">
      <w:pPr>
        <w:pStyle w:val="Odstavecseseznamem"/>
        <w:numPr>
          <w:ilvl w:val="0"/>
          <w:numId w:val="5"/>
        </w:numPr>
        <w:tabs>
          <w:tab w:val="left" w:pos="426"/>
        </w:tabs>
        <w:ind w:left="426" w:hanging="426"/>
        <w:jc w:val="both"/>
        <w:rPr>
          <w:rFonts w:ascii="Arial" w:hAnsi="Arial" w:cs="Arial"/>
          <w:b/>
          <w:bCs/>
          <w:sz w:val="24"/>
        </w:rPr>
      </w:pPr>
      <w:r w:rsidRPr="00940D00">
        <w:rPr>
          <w:rFonts w:ascii="Arial" w:hAnsi="Arial" w:cs="Arial"/>
          <w:b/>
          <w:bCs/>
          <w:sz w:val="24"/>
        </w:rPr>
        <w:t xml:space="preserve">Revize směrnice o energetické účinnosti </w:t>
      </w:r>
      <w:r w:rsidR="003C43BF">
        <w:rPr>
          <w:rFonts w:ascii="Arial" w:hAnsi="Arial" w:cs="Arial"/>
          <w:b/>
          <w:bCs/>
          <w:sz w:val="24"/>
        </w:rPr>
        <w:t>(</w:t>
      </w:r>
      <w:r w:rsidRPr="00940D00">
        <w:rPr>
          <w:rFonts w:ascii="Arial" w:hAnsi="Arial" w:cs="Arial"/>
          <w:b/>
          <w:bCs/>
          <w:sz w:val="24"/>
        </w:rPr>
        <w:t>a směrnice o energetické náročnosti budov</w:t>
      </w:r>
      <w:r w:rsidR="003C43BF">
        <w:rPr>
          <w:rFonts w:ascii="Arial" w:hAnsi="Arial" w:cs="Arial"/>
          <w:b/>
          <w:bCs/>
          <w:sz w:val="24"/>
        </w:rPr>
        <w:t>)</w:t>
      </w:r>
    </w:p>
    <w:p w:rsidR="00332322" w:rsidRDefault="00332322" w:rsidP="0038082D">
      <w:pPr>
        <w:jc w:val="both"/>
        <w:rPr>
          <w:rFonts w:ascii="Arial" w:hAnsi="Arial" w:cs="Arial"/>
          <w:bCs/>
          <w:sz w:val="24"/>
          <w:szCs w:val="24"/>
        </w:rPr>
      </w:pPr>
    </w:p>
    <w:p w:rsidR="00BE38E7" w:rsidRPr="00766112" w:rsidRDefault="00C86F3B" w:rsidP="0038082D">
      <w:pPr>
        <w:jc w:val="both"/>
        <w:rPr>
          <w:rFonts w:ascii="Arial" w:hAnsi="Arial" w:cs="Arial"/>
          <w:bCs/>
          <w:sz w:val="24"/>
          <w:szCs w:val="24"/>
        </w:rPr>
      </w:pPr>
      <w:r w:rsidRPr="00766112">
        <w:rPr>
          <w:rFonts w:ascii="Arial" w:hAnsi="Arial" w:cs="Arial"/>
          <w:bCs/>
          <w:sz w:val="24"/>
          <w:szCs w:val="24"/>
        </w:rPr>
        <w:t xml:space="preserve">ČPS podporuje rozumné zvyšování energetické účinnosti. Opatření podporující zvyšování energetické účinnosti by měla být </w:t>
      </w:r>
      <w:r w:rsidR="009823DA" w:rsidRPr="00766112">
        <w:rPr>
          <w:rFonts w:ascii="Arial" w:hAnsi="Arial" w:cs="Arial"/>
          <w:bCs/>
          <w:sz w:val="24"/>
          <w:szCs w:val="24"/>
        </w:rPr>
        <w:t>prováz</w:t>
      </w:r>
      <w:r w:rsidR="006C3821">
        <w:rPr>
          <w:rFonts w:ascii="Arial" w:hAnsi="Arial" w:cs="Arial"/>
          <w:bCs/>
          <w:sz w:val="24"/>
          <w:szCs w:val="24"/>
        </w:rPr>
        <w:t>á</w:t>
      </w:r>
      <w:r w:rsidR="009823DA" w:rsidRPr="00766112">
        <w:rPr>
          <w:rFonts w:ascii="Arial" w:hAnsi="Arial" w:cs="Arial"/>
          <w:bCs/>
          <w:sz w:val="24"/>
          <w:szCs w:val="24"/>
        </w:rPr>
        <w:t>n</w:t>
      </w:r>
      <w:r w:rsidR="006C3821">
        <w:rPr>
          <w:rFonts w:ascii="Arial" w:hAnsi="Arial" w:cs="Arial"/>
          <w:bCs/>
          <w:sz w:val="24"/>
          <w:szCs w:val="24"/>
        </w:rPr>
        <w:t>a</w:t>
      </w:r>
      <w:r w:rsidR="009823DA" w:rsidRPr="00766112">
        <w:rPr>
          <w:rFonts w:ascii="Arial" w:hAnsi="Arial" w:cs="Arial"/>
          <w:bCs/>
          <w:sz w:val="24"/>
          <w:szCs w:val="24"/>
        </w:rPr>
        <w:t xml:space="preserve"> s ostatními politikami, přiměřená a v principu vycházet z potřeb trhu. Opatření by měla být zaměřena více </w:t>
      </w:r>
      <w:r w:rsidR="00332322">
        <w:rPr>
          <w:rFonts w:ascii="Arial" w:hAnsi="Arial" w:cs="Arial"/>
          <w:bCs/>
          <w:sz w:val="24"/>
          <w:szCs w:val="24"/>
        </w:rPr>
        <w:t xml:space="preserve">plošně </w:t>
      </w:r>
      <w:r w:rsidR="009823DA" w:rsidRPr="00766112">
        <w:rPr>
          <w:rFonts w:ascii="Arial" w:hAnsi="Arial" w:cs="Arial"/>
          <w:bCs/>
          <w:sz w:val="24"/>
          <w:szCs w:val="24"/>
        </w:rPr>
        <w:t>na rozdíl od úzkého zaměření se na vybrané nosiče energie.</w:t>
      </w:r>
    </w:p>
    <w:p w:rsidR="0038082D" w:rsidRPr="00766112" w:rsidRDefault="0038082D" w:rsidP="0038082D">
      <w:pPr>
        <w:jc w:val="both"/>
        <w:rPr>
          <w:rFonts w:ascii="Arial" w:hAnsi="Arial" w:cs="Arial"/>
          <w:bCs/>
          <w:sz w:val="24"/>
          <w:szCs w:val="24"/>
        </w:rPr>
      </w:pPr>
    </w:p>
    <w:p w:rsidR="00BE38E7" w:rsidRDefault="002B6AEA" w:rsidP="0038082D">
      <w:pPr>
        <w:jc w:val="both"/>
        <w:rPr>
          <w:rFonts w:ascii="Arial" w:hAnsi="Arial" w:cs="Arial"/>
          <w:bCs/>
          <w:sz w:val="24"/>
          <w:szCs w:val="24"/>
        </w:rPr>
      </w:pPr>
      <w:r w:rsidRPr="00766112">
        <w:rPr>
          <w:rFonts w:ascii="Arial" w:hAnsi="Arial" w:cs="Arial"/>
          <w:bCs/>
          <w:sz w:val="24"/>
          <w:szCs w:val="24"/>
        </w:rPr>
        <w:t xml:space="preserve">Návrh </w:t>
      </w:r>
      <w:r w:rsidR="0002216D" w:rsidRPr="00766112">
        <w:rPr>
          <w:rFonts w:ascii="Arial" w:hAnsi="Arial" w:cs="Arial"/>
          <w:bCs/>
          <w:sz w:val="24"/>
          <w:szCs w:val="24"/>
        </w:rPr>
        <w:t xml:space="preserve">určitým způsobem </w:t>
      </w:r>
      <w:r w:rsidR="00CB42DB" w:rsidRPr="00766112">
        <w:rPr>
          <w:rFonts w:ascii="Arial" w:hAnsi="Arial" w:cs="Arial"/>
          <w:bCs/>
          <w:sz w:val="24"/>
          <w:szCs w:val="24"/>
        </w:rPr>
        <w:t xml:space="preserve">preferuje </w:t>
      </w:r>
      <w:r w:rsidR="0002216D" w:rsidRPr="00766112">
        <w:rPr>
          <w:rFonts w:ascii="Arial" w:hAnsi="Arial" w:cs="Arial"/>
          <w:bCs/>
          <w:sz w:val="24"/>
          <w:szCs w:val="24"/>
        </w:rPr>
        <w:t xml:space="preserve">opatření </w:t>
      </w:r>
      <w:r w:rsidR="00332322">
        <w:rPr>
          <w:rFonts w:ascii="Arial" w:hAnsi="Arial" w:cs="Arial"/>
          <w:bCs/>
          <w:sz w:val="24"/>
          <w:szCs w:val="24"/>
        </w:rPr>
        <w:t>vedoucí k</w:t>
      </w:r>
      <w:r w:rsidR="0002216D" w:rsidRPr="00766112">
        <w:rPr>
          <w:rFonts w:ascii="Arial" w:hAnsi="Arial" w:cs="Arial"/>
          <w:bCs/>
          <w:sz w:val="24"/>
          <w:szCs w:val="24"/>
        </w:rPr>
        <w:t xml:space="preserve"> </w:t>
      </w:r>
      <w:r w:rsidR="00332322">
        <w:rPr>
          <w:rFonts w:ascii="Arial" w:hAnsi="Arial" w:cs="Arial"/>
          <w:bCs/>
          <w:sz w:val="24"/>
          <w:szCs w:val="24"/>
        </w:rPr>
        <w:t xml:space="preserve">omezení využívání </w:t>
      </w:r>
      <w:r w:rsidR="0002216D" w:rsidRPr="00766112">
        <w:rPr>
          <w:rFonts w:ascii="Arial" w:hAnsi="Arial" w:cs="Arial"/>
          <w:bCs/>
          <w:sz w:val="24"/>
          <w:szCs w:val="24"/>
        </w:rPr>
        <w:t>energetick</w:t>
      </w:r>
      <w:r w:rsidR="00332322">
        <w:rPr>
          <w:rFonts w:ascii="Arial" w:hAnsi="Arial" w:cs="Arial"/>
          <w:bCs/>
          <w:sz w:val="24"/>
          <w:szCs w:val="24"/>
        </w:rPr>
        <w:t>ých</w:t>
      </w:r>
      <w:r w:rsidR="0002216D" w:rsidRPr="00766112">
        <w:rPr>
          <w:rFonts w:ascii="Arial" w:hAnsi="Arial" w:cs="Arial"/>
          <w:bCs/>
          <w:sz w:val="24"/>
          <w:szCs w:val="24"/>
        </w:rPr>
        <w:t xml:space="preserve"> zdroj</w:t>
      </w:r>
      <w:r w:rsidR="00332322">
        <w:rPr>
          <w:rFonts w:ascii="Arial" w:hAnsi="Arial" w:cs="Arial"/>
          <w:bCs/>
          <w:sz w:val="24"/>
          <w:szCs w:val="24"/>
        </w:rPr>
        <w:t>ů</w:t>
      </w:r>
      <w:r w:rsidR="00CB42DB" w:rsidRPr="00766112">
        <w:rPr>
          <w:rFonts w:ascii="Arial" w:hAnsi="Arial" w:cs="Arial"/>
          <w:bCs/>
          <w:sz w:val="24"/>
          <w:szCs w:val="24"/>
        </w:rPr>
        <w:t>,</w:t>
      </w:r>
      <w:r w:rsidR="0002216D" w:rsidRPr="00766112">
        <w:rPr>
          <w:rFonts w:ascii="Arial" w:hAnsi="Arial" w:cs="Arial"/>
          <w:bCs/>
          <w:sz w:val="24"/>
          <w:szCs w:val="24"/>
        </w:rPr>
        <w:t xml:space="preserve"> jako např. </w:t>
      </w:r>
      <w:r w:rsidR="00CB42DB" w:rsidRPr="00766112">
        <w:rPr>
          <w:rFonts w:ascii="Arial" w:hAnsi="Arial" w:cs="Arial"/>
          <w:bCs/>
          <w:sz w:val="24"/>
          <w:szCs w:val="24"/>
        </w:rPr>
        <w:t xml:space="preserve">zemní plyn, čímž favorizuje využití elektřiny, aniž by zohlednil reálnou účinnost výroby elektřiny v jednotlivých členských státech. Tomu napomáhá i změna hodnoty </w:t>
      </w:r>
      <w:r w:rsidR="0002216D" w:rsidRPr="00766112">
        <w:rPr>
          <w:rFonts w:ascii="Arial" w:hAnsi="Arial" w:cs="Arial"/>
          <w:bCs/>
          <w:sz w:val="24"/>
          <w:szCs w:val="24"/>
        </w:rPr>
        <w:t>primární</w:t>
      </w:r>
      <w:r w:rsidR="00CB42DB" w:rsidRPr="00766112">
        <w:rPr>
          <w:rFonts w:ascii="Arial" w:hAnsi="Arial" w:cs="Arial"/>
          <w:bCs/>
          <w:sz w:val="24"/>
          <w:szCs w:val="24"/>
        </w:rPr>
        <w:t>ho</w:t>
      </w:r>
      <w:r w:rsidR="0002216D" w:rsidRPr="00766112">
        <w:rPr>
          <w:rFonts w:ascii="Arial" w:hAnsi="Arial" w:cs="Arial"/>
          <w:bCs/>
          <w:sz w:val="24"/>
          <w:szCs w:val="24"/>
        </w:rPr>
        <w:t xml:space="preserve"> energetick</w:t>
      </w:r>
      <w:r w:rsidR="00CB42DB" w:rsidRPr="00766112">
        <w:rPr>
          <w:rFonts w:ascii="Arial" w:hAnsi="Arial" w:cs="Arial"/>
          <w:bCs/>
          <w:sz w:val="24"/>
          <w:szCs w:val="24"/>
        </w:rPr>
        <w:t>ého</w:t>
      </w:r>
      <w:r w:rsidR="0002216D" w:rsidRPr="00766112">
        <w:rPr>
          <w:rFonts w:ascii="Arial" w:hAnsi="Arial" w:cs="Arial"/>
          <w:bCs/>
          <w:sz w:val="24"/>
          <w:szCs w:val="24"/>
        </w:rPr>
        <w:t xml:space="preserve"> faktor</w:t>
      </w:r>
      <w:r w:rsidR="00CB42DB" w:rsidRPr="00766112">
        <w:rPr>
          <w:rFonts w:ascii="Arial" w:hAnsi="Arial" w:cs="Arial"/>
          <w:bCs/>
          <w:sz w:val="24"/>
          <w:szCs w:val="24"/>
        </w:rPr>
        <w:t>u</w:t>
      </w:r>
      <w:r w:rsidR="0002216D" w:rsidRPr="00766112">
        <w:rPr>
          <w:rFonts w:ascii="Arial" w:hAnsi="Arial" w:cs="Arial"/>
          <w:bCs/>
          <w:sz w:val="24"/>
          <w:szCs w:val="24"/>
        </w:rPr>
        <w:t xml:space="preserve"> pro elektřinu z již poměrně nízké hodnoty 2,5 na 2</w:t>
      </w:r>
      <w:r w:rsidR="00CB42DB" w:rsidRPr="00766112">
        <w:rPr>
          <w:rFonts w:ascii="Arial" w:hAnsi="Arial" w:cs="Arial"/>
          <w:bCs/>
          <w:sz w:val="24"/>
          <w:szCs w:val="24"/>
        </w:rPr>
        <w:t xml:space="preserve"> v příloze č. IV. Navržená změna tak bez doplnění ochranných ustanovení povede k plošné elektrifikaci domácností bez ohledu na reálné dopady. V praxi by např. mohlo docházet k</w:t>
      </w:r>
      <w:r w:rsidR="002F6A87" w:rsidRPr="00766112">
        <w:rPr>
          <w:rFonts w:ascii="Arial" w:hAnsi="Arial" w:cs="Arial"/>
          <w:bCs/>
          <w:sz w:val="24"/>
          <w:szCs w:val="24"/>
        </w:rPr>
        <w:t xml:space="preserve"> využívání elektrických přímotopů nebo přechodu k nim od </w:t>
      </w:r>
      <w:r w:rsidR="00CB42DB" w:rsidRPr="00766112">
        <w:rPr>
          <w:rFonts w:ascii="Arial" w:hAnsi="Arial" w:cs="Arial"/>
          <w:bCs/>
          <w:sz w:val="24"/>
          <w:szCs w:val="24"/>
        </w:rPr>
        <w:t xml:space="preserve">vytápění zemním plynem </w:t>
      </w:r>
      <w:r w:rsidR="002F6A87" w:rsidRPr="00766112">
        <w:rPr>
          <w:rFonts w:ascii="Arial" w:hAnsi="Arial" w:cs="Arial"/>
          <w:bCs/>
          <w:sz w:val="24"/>
          <w:szCs w:val="24"/>
        </w:rPr>
        <w:t xml:space="preserve">nebo </w:t>
      </w:r>
      <w:proofErr w:type="spellStart"/>
      <w:r w:rsidR="002F6A87" w:rsidRPr="00766112">
        <w:rPr>
          <w:rFonts w:ascii="Arial" w:hAnsi="Arial" w:cs="Arial"/>
          <w:bCs/>
          <w:sz w:val="24"/>
          <w:szCs w:val="24"/>
        </w:rPr>
        <w:t>OZE</w:t>
      </w:r>
      <w:proofErr w:type="spellEnd"/>
      <w:r w:rsidR="002F6A87" w:rsidRPr="00766112">
        <w:rPr>
          <w:rFonts w:ascii="Arial" w:hAnsi="Arial" w:cs="Arial"/>
          <w:bCs/>
          <w:sz w:val="24"/>
          <w:szCs w:val="24"/>
        </w:rPr>
        <w:t xml:space="preserve"> i za situace, kdy je elektřina v daném státě vyráběn</w:t>
      </w:r>
      <w:r w:rsidR="009F31E4">
        <w:rPr>
          <w:rFonts w:ascii="Arial" w:hAnsi="Arial" w:cs="Arial"/>
          <w:bCs/>
          <w:sz w:val="24"/>
          <w:szCs w:val="24"/>
        </w:rPr>
        <w:t>a</w:t>
      </w:r>
      <w:r w:rsidR="002F6A87" w:rsidRPr="00766112">
        <w:rPr>
          <w:rFonts w:ascii="Arial" w:hAnsi="Arial" w:cs="Arial"/>
          <w:bCs/>
          <w:sz w:val="24"/>
          <w:szCs w:val="24"/>
        </w:rPr>
        <w:t xml:space="preserve"> převážně z uhlí. Výsledkem by tak bylo nejen sníže</w:t>
      </w:r>
      <w:r w:rsidR="00766112">
        <w:rPr>
          <w:rFonts w:ascii="Arial" w:hAnsi="Arial" w:cs="Arial"/>
          <w:bCs/>
          <w:sz w:val="24"/>
          <w:szCs w:val="24"/>
        </w:rPr>
        <w:t>ní energetické účinnosti, ale i </w:t>
      </w:r>
      <w:r w:rsidR="002F6A87" w:rsidRPr="00766112">
        <w:rPr>
          <w:rFonts w:ascii="Arial" w:hAnsi="Arial" w:cs="Arial"/>
          <w:bCs/>
          <w:sz w:val="24"/>
          <w:szCs w:val="24"/>
        </w:rPr>
        <w:t>zvýšení emisí skleníkových plynů.</w:t>
      </w:r>
    </w:p>
    <w:p w:rsidR="0038082D" w:rsidRPr="00766112" w:rsidRDefault="0038082D" w:rsidP="0038082D">
      <w:pPr>
        <w:jc w:val="both"/>
        <w:rPr>
          <w:rFonts w:ascii="Arial" w:hAnsi="Arial" w:cs="Arial"/>
          <w:bCs/>
          <w:sz w:val="24"/>
          <w:szCs w:val="24"/>
        </w:rPr>
      </w:pPr>
    </w:p>
    <w:p w:rsidR="00332322" w:rsidRDefault="00332322" w:rsidP="00332322">
      <w:pPr>
        <w:jc w:val="both"/>
        <w:rPr>
          <w:rFonts w:ascii="Arial" w:hAnsi="Arial" w:cs="Arial"/>
          <w:bCs/>
          <w:sz w:val="24"/>
          <w:szCs w:val="24"/>
        </w:rPr>
      </w:pPr>
      <w:r w:rsidRPr="00766112">
        <w:rPr>
          <w:rFonts w:ascii="Arial" w:hAnsi="Arial" w:cs="Arial"/>
          <w:bCs/>
          <w:sz w:val="24"/>
          <w:szCs w:val="24"/>
        </w:rPr>
        <w:t xml:space="preserve">Užití zemního plynu </w:t>
      </w:r>
      <w:r>
        <w:rPr>
          <w:rFonts w:ascii="Arial" w:hAnsi="Arial" w:cs="Arial"/>
          <w:bCs/>
          <w:sz w:val="24"/>
          <w:szCs w:val="24"/>
        </w:rPr>
        <w:t xml:space="preserve">naopak </w:t>
      </w:r>
      <w:r w:rsidRPr="00766112">
        <w:rPr>
          <w:rFonts w:ascii="Arial" w:hAnsi="Arial" w:cs="Arial"/>
          <w:bCs/>
          <w:sz w:val="24"/>
          <w:szCs w:val="24"/>
        </w:rPr>
        <w:t>nabízí značný potenciál při zvyšo</w:t>
      </w:r>
      <w:r>
        <w:rPr>
          <w:rFonts w:ascii="Arial" w:hAnsi="Arial" w:cs="Arial"/>
          <w:bCs/>
          <w:sz w:val="24"/>
          <w:szCs w:val="24"/>
        </w:rPr>
        <w:t>vání energetické účinnosti a </w:t>
      </w:r>
      <w:r w:rsidRPr="00766112">
        <w:rPr>
          <w:rFonts w:ascii="Arial" w:hAnsi="Arial" w:cs="Arial"/>
          <w:bCs/>
          <w:sz w:val="24"/>
          <w:szCs w:val="24"/>
        </w:rPr>
        <w:t>snižování emisí skleníkových plynů. Plynová zařízení využívající plyn z obnovitelných zdrojů energie mohou napomoci p</w:t>
      </w:r>
      <w:r>
        <w:rPr>
          <w:rFonts w:ascii="Arial" w:hAnsi="Arial" w:cs="Arial"/>
          <w:bCs/>
          <w:sz w:val="24"/>
          <w:szCs w:val="24"/>
        </w:rPr>
        <w:t>lnění cílů v sektoru vytápění a </w:t>
      </w:r>
      <w:r w:rsidRPr="00766112">
        <w:rPr>
          <w:rFonts w:ascii="Arial" w:hAnsi="Arial" w:cs="Arial"/>
          <w:bCs/>
          <w:sz w:val="24"/>
          <w:szCs w:val="24"/>
        </w:rPr>
        <w:t>chlazení. Snižování emisí skleníkových plynů by mělo na globální úrovni zůstat zastřešujícím cílem.</w:t>
      </w:r>
    </w:p>
    <w:p w:rsidR="00332322" w:rsidRDefault="00332322" w:rsidP="00332322">
      <w:pPr>
        <w:jc w:val="both"/>
        <w:rPr>
          <w:rFonts w:ascii="Arial" w:hAnsi="Arial" w:cs="Arial"/>
          <w:bCs/>
          <w:sz w:val="24"/>
          <w:szCs w:val="24"/>
        </w:rPr>
      </w:pPr>
    </w:p>
    <w:p w:rsidR="00741F6B" w:rsidRDefault="00741F6B" w:rsidP="0038082D">
      <w:pPr>
        <w:jc w:val="both"/>
        <w:rPr>
          <w:rFonts w:ascii="Arial" w:hAnsi="Arial" w:cs="Arial"/>
          <w:bCs/>
          <w:sz w:val="24"/>
          <w:szCs w:val="24"/>
        </w:rPr>
      </w:pPr>
      <w:r w:rsidRPr="00766112">
        <w:rPr>
          <w:rFonts w:ascii="Arial" w:hAnsi="Arial" w:cs="Arial"/>
          <w:bCs/>
          <w:sz w:val="24"/>
          <w:szCs w:val="24"/>
        </w:rPr>
        <w:t>ČPS podporuje využití primárního energetického faktoru, které umožňuje spravedlivé srovnání všech druhů energie (vč. elektrické), vč. možnosti stanovit si jeho hodnoty členskými státy na základě vlastního energetického mixu. Přesto lze v odvození fa</w:t>
      </w:r>
      <w:r w:rsidR="00766112">
        <w:rPr>
          <w:rFonts w:ascii="Arial" w:hAnsi="Arial" w:cs="Arial"/>
          <w:bCs/>
          <w:sz w:val="24"/>
          <w:szCs w:val="24"/>
        </w:rPr>
        <w:t>kt</w:t>
      </w:r>
      <w:r w:rsidR="00332322">
        <w:rPr>
          <w:rFonts w:ascii="Arial" w:hAnsi="Arial" w:cs="Arial"/>
          <w:bCs/>
          <w:sz w:val="24"/>
          <w:szCs w:val="24"/>
        </w:rPr>
        <w:t>o</w:t>
      </w:r>
      <w:r w:rsidR="00766112">
        <w:rPr>
          <w:rFonts w:ascii="Arial" w:hAnsi="Arial" w:cs="Arial"/>
          <w:bCs/>
          <w:sz w:val="24"/>
          <w:szCs w:val="24"/>
        </w:rPr>
        <w:t>ru nalézt některé nejasnosti:</w:t>
      </w:r>
    </w:p>
    <w:p w:rsidR="00332322" w:rsidRPr="00766112" w:rsidRDefault="00332322" w:rsidP="0038082D">
      <w:pPr>
        <w:jc w:val="both"/>
        <w:rPr>
          <w:rFonts w:ascii="Arial" w:hAnsi="Arial" w:cs="Arial"/>
          <w:bCs/>
          <w:sz w:val="24"/>
          <w:szCs w:val="24"/>
        </w:rPr>
      </w:pPr>
    </w:p>
    <w:p w:rsidR="00741F6B" w:rsidRPr="0038082D" w:rsidRDefault="00741F6B" w:rsidP="0038082D">
      <w:pPr>
        <w:pStyle w:val="Odstavecseseznamem"/>
        <w:numPr>
          <w:ilvl w:val="0"/>
          <w:numId w:val="3"/>
        </w:numPr>
        <w:tabs>
          <w:tab w:val="left" w:pos="284"/>
        </w:tabs>
        <w:ind w:left="284" w:hanging="284"/>
        <w:contextualSpacing w:val="0"/>
        <w:jc w:val="both"/>
        <w:rPr>
          <w:rFonts w:ascii="Arial" w:hAnsi="Arial" w:cs="Arial"/>
          <w:bCs/>
          <w:sz w:val="24"/>
        </w:rPr>
      </w:pPr>
      <w:r w:rsidRPr="0038082D">
        <w:rPr>
          <w:rFonts w:ascii="Arial" w:hAnsi="Arial" w:cs="Arial"/>
          <w:bCs/>
          <w:sz w:val="24"/>
        </w:rPr>
        <w:t>Výše faktoru by měla být obecně odvozena od aktuálního energetického mixu daného členského státu a ne od naplánovaného energetického mixu pro rok 2020, jehož skutečné složení nemůže v tuto chvíli nikdo znát. V podmínkách ČR je tak dle našeho názoru i stávající hodnota 2,5 značně nadhodnocená.</w:t>
      </w:r>
    </w:p>
    <w:p w:rsidR="00741F6B" w:rsidRDefault="00741F6B" w:rsidP="0038082D">
      <w:pPr>
        <w:pStyle w:val="Odstavecseseznamem"/>
        <w:numPr>
          <w:ilvl w:val="0"/>
          <w:numId w:val="3"/>
        </w:numPr>
        <w:tabs>
          <w:tab w:val="left" w:pos="284"/>
        </w:tabs>
        <w:ind w:left="284" w:hanging="284"/>
        <w:contextualSpacing w:val="0"/>
        <w:jc w:val="both"/>
        <w:rPr>
          <w:rFonts w:ascii="Arial" w:hAnsi="Arial" w:cs="Arial"/>
          <w:bCs/>
          <w:sz w:val="24"/>
        </w:rPr>
      </w:pPr>
      <w:r w:rsidRPr="0038082D">
        <w:rPr>
          <w:rFonts w:ascii="Arial" w:hAnsi="Arial" w:cs="Arial"/>
          <w:bCs/>
          <w:sz w:val="24"/>
        </w:rPr>
        <w:t>Koeficient by neměl být „uměle“ odvozen s cílem posilovat další elektrifikaci domácností, ale měl by zohledňovat reálný pokrok při přeměně primární energie na konečnou.</w:t>
      </w:r>
    </w:p>
    <w:p w:rsidR="0038082D" w:rsidRDefault="0038082D" w:rsidP="0038082D">
      <w:pPr>
        <w:pStyle w:val="Odstavecseseznamem"/>
        <w:numPr>
          <w:ilvl w:val="0"/>
          <w:numId w:val="3"/>
        </w:numPr>
        <w:tabs>
          <w:tab w:val="left" w:pos="284"/>
        </w:tabs>
        <w:ind w:left="284" w:hanging="284"/>
        <w:contextualSpacing w:val="0"/>
        <w:jc w:val="both"/>
        <w:rPr>
          <w:rFonts w:ascii="Arial" w:hAnsi="Arial" w:cs="Arial"/>
          <w:bCs/>
          <w:sz w:val="24"/>
        </w:rPr>
      </w:pPr>
      <w:r w:rsidRPr="0038082D">
        <w:rPr>
          <w:rFonts w:ascii="Arial" w:hAnsi="Arial" w:cs="Arial"/>
          <w:bCs/>
          <w:sz w:val="24"/>
        </w:rPr>
        <w:t>V případě zemního plynu je ve směrnici o energetické účinnosti uváděna hodnota 1,</w:t>
      </w:r>
      <w:r w:rsidR="007D3952">
        <w:rPr>
          <w:rFonts w:ascii="Arial" w:hAnsi="Arial" w:cs="Arial"/>
          <w:bCs/>
          <w:sz w:val="24"/>
        </w:rPr>
        <w:t>0</w:t>
      </w:r>
      <w:r w:rsidRPr="0038082D">
        <w:rPr>
          <w:rFonts w:ascii="Arial" w:hAnsi="Arial" w:cs="Arial"/>
          <w:bCs/>
          <w:sz w:val="24"/>
        </w:rPr>
        <w:t xml:space="preserve"> zatímco ve směrnici o energetické náročnosti budov uváděna hodnota 1,1.</w:t>
      </w:r>
    </w:p>
    <w:p w:rsidR="0038082D" w:rsidRPr="0038082D" w:rsidRDefault="0038082D" w:rsidP="0038082D">
      <w:pPr>
        <w:pStyle w:val="Odstavecseseznamem"/>
        <w:tabs>
          <w:tab w:val="left" w:pos="284"/>
        </w:tabs>
        <w:ind w:left="284"/>
        <w:contextualSpacing w:val="0"/>
        <w:jc w:val="both"/>
        <w:rPr>
          <w:rFonts w:ascii="Arial" w:hAnsi="Arial" w:cs="Arial"/>
          <w:bCs/>
          <w:sz w:val="24"/>
        </w:rPr>
      </w:pPr>
    </w:p>
    <w:p w:rsidR="00741F6B" w:rsidRDefault="00741F6B" w:rsidP="0038082D">
      <w:pPr>
        <w:jc w:val="both"/>
        <w:rPr>
          <w:rFonts w:ascii="Arial" w:hAnsi="Arial" w:cs="Arial"/>
          <w:bCs/>
          <w:sz w:val="24"/>
          <w:szCs w:val="24"/>
        </w:rPr>
      </w:pPr>
      <w:r w:rsidRPr="00766112">
        <w:rPr>
          <w:rFonts w:ascii="Arial" w:hAnsi="Arial" w:cs="Arial"/>
          <w:bCs/>
          <w:sz w:val="24"/>
          <w:szCs w:val="24"/>
        </w:rPr>
        <w:t xml:space="preserve">Primární energetický faktor stanovený pro účely směrnice o energetické účinnosti by neměl být využit pro směrnice o štítkování a </w:t>
      </w:r>
      <w:proofErr w:type="spellStart"/>
      <w:r w:rsidRPr="00766112">
        <w:rPr>
          <w:rFonts w:ascii="Arial" w:hAnsi="Arial" w:cs="Arial"/>
          <w:bCs/>
          <w:sz w:val="24"/>
          <w:szCs w:val="24"/>
        </w:rPr>
        <w:t>ekodesignu</w:t>
      </w:r>
      <w:proofErr w:type="spellEnd"/>
      <w:r w:rsidRPr="00766112">
        <w:rPr>
          <w:rFonts w:ascii="Arial" w:hAnsi="Arial" w:cs="Arial"/>
          <w:bCs/>
          <w:sz w:val="24"/>
          <w:szCs w:val="24"/>
        </w:rPr>
        <w:t>. Energie pro vytápění je potřebná v topném období a n</w:t>
      </w:r>
      <w:r w:rsidR="00E2298A" w:rsidRPr="00766112">
        <w:rPr>
          <w:rFonts w:ascii="Arial" w:hAnsi="Arial" w:cs="Arial"/>
          <w:bCs/>
          <w:sz w:val="24"/>
          <w:szCs w:val="24"/>
        </w:rPr>
        <w:t>e jako průměr za celý rok. Nízký faktor by neměl být důvodem pro „vystoupání“ vysoce neefektivních elektrických přímotopů mezi přijatelné spotřebiče a umožnit tak jejich opětovný prodej po předchozím zákazu z důvodu nízké účinnosti.</w:t>
      </w:r>
    </w:p>
    <w:p w:rsidR="0038082D" w:rsidRPr="00766112" w:rsidRDefault="0038082D" w:rsidP="0038082D">
      <w:pPr>
        <w:jc w:val="both"/>
        <w:rPr>
          <w:rFonts w:ascii="Arial" w:hAnsi="Arial" w:cs="Arial"/>
          <w:bCs/>
          <w:sz w:val="24"/>
          <w:szCs w:val="24"/>
        </w:rPr>
      </w:pPr>
    </w:p>
    <w:p w:rsidR="00BE38E7" w:rsidRDefault="00EA6294" w:rsidP="0038082D">
      <w:pPr>
        <w:jc w:val="both"/>
        <w:rPr>
          <w:rFonts w:ascii="Arial" w:hAnsi="Arial" w:cs="Arial"/>
          <w:bCs/>
          <w:sz w:val="24"/>
          <w:szCs w:val="24"/>
        </w:rPr>
      </w:pPr>
      <w:r w:rsidRPr="00766112">
        <w:rPr>
          <w:rFonts w:ascii="Arial" w:hAnsi="Arial" w:cs="Arial"/>
          <w:bCs/>
          <w:sz w:val="24"/>
          <w:szCs w:val="24"/>
        </w:rPr>
        <w:t>Posouzení navýšení cíle na 30 % v dopadové studii je do značné míry závislé na výchozích předpokladech a zaměření posuzovatele. Domníváme se, že</w:t>
      </w:r>
      <w:r w:rsidR="00C13BBF" w:rsidRPr="00766112">
        <w:rPr>
          <w:rFonts w:ascii="Arial" w:hAnsi="Arial" w:cs="Arial"/>
          <w:bCs/>
          <w:sz w:val="24"/>
          <w:szCs w:val="24"/>
        </w:rPr>
        <w:t xml:space="preserve"> </w:t>
      </w:r>
      <w:r w:rsidRPr="00766112">
        <w:rPr>
          <w:rFonts w:ascii="Arial" w:hAnsi="Arial" w:cs="Arial"/>
          <w:bCs/>
          <w:sz w:val="24"/>
          <w:szCs w:val="24"/>
        </w:rPr>
        <w:t xml:space="preserve">dopadová studie by měla </w:t>
      </w:r>
      <w:r w:rsidR="00C13BBF" w:rsidRPr="00766112">
        <w:rPr>
          <w:rFonts w:ascii="Arial" w:hAnsi="Arial" w:cs="Arial"/>
          <w:bCs/>
          <w:sz w:val="24"/>
          <w:szCs w:val="24"/>
        </w:rPr>
        <w:t xml:space="preserve">lépe </w:t>
      </w:r>
      <w:r w:rsidRPr="00766112">
        <w:rPr>
          <w:rFonts w:ascii="Arial" w:hAnsi="Arial" w:cs="Arial"/>
          <w:bCs/>
          <w:sz w:val="24"/>
          <w:szCs w:val="24"/>
        </w:rPr>
        <w:t>zohlednit některé skutečnosti</w:t>
      </w:r>
      <w:r w:rsidR="0038082D">
        <w:rPr>
          <w:rFonts w:ascii="Arial" w:hAnsi="Arial" w:cs="Arial"/>
          <w:bCs/>
          <w:sz w:val="24"/>
          <w:szCs w:val="24"/>
        </w:rPr>
        <w:t>:</w:t>
      </w:r>
    </w:p>
    <w:p w:rsidR="009C5548" w:rsidRPr="00766112" w:rsidRDefault="009C5548" w:rsidP="0038082D">
      <w:pPr>
        <w:jc w:val="both"/>
        <w:rPr>
          <w:rFonts w:ascii="Arial" w:hAnsi="Arial" w:cs="Arial"/>
          <w:bCs/>
          <w:sz w:val="24"/>
          <w:szCs w:val="24"/>
        </w:rPr>
      </w:pPr>
    </w:p>
    <w:p w:rsidR="00EA6294" w:rsidRPr="00766112" w:rsidRDefault="00C13BBF" w:rsidP="0038082D">
      <w:pPr>
        <w:pStyle w:val="Odstavecseseznamem"/>
        <w:numPr>
          <w:ilvl w:val="0"/>
          <w:numId w:val="3"/>
        </w:numPr>
        <w:tabs>
          <w:tab w:val="left" w:pos="284"/>
        </w:tabs>
        <w:ind w:left="284" w:hanging="284"/>
        <w:contextualSpacing w:val="0"/>
        <w:jc w:val="both"/>
        <w:rPr>
          <w:rFonts w:ascii="Arial" w:hAnsi="Arial" w:cs="Arial"/>
          <w:bCs/>
          <w:sz w:val="24"/>
        </w:rPr>
      </w:pPr>
      <w:r w:rsidRPr="00766112">
        <w:rPr>
          <w:rFonts w:ascii="Arial" w:hAnsi="Arial" w:cs="Arial"/>
          <w:bCs/>
          <w:sz w:val="24"/>
        </w:rPr>
        <w:t>H</w:t>
      </w:r>
      <w:r w:rsidR="00EA6294" w:rsidRPr="00766112">
        <w:rPr>
          <w:rFonts w:ascii="Arial" w:hAnsi="Arial" w:cs="Arial"/>
          <w:bCs/>
          <w:sz w:val="24"/>
        </w:rPr>
        <w:t>ospodářský růst</w:t>
      </w:r>
      <w:r w:rsidRPr="00766112">
        <w:rPr>
          <w:rFonts w:ascii="Arial" w:hAnsi="Arial" w:cs="Arial"/>
          <w:bCs/>
          <w:sz w:val="24"/>
        </w:rPr>
        <w:t xml:space="preserve"> (je předpokládán na relativně nízké úrovni 1,2 % ročně v letech 2010-2020 oproti 1,9 % v letech 11995-2010, naopak v letech 2020-2030 je 1,4 % a v letech 2030-2050 je 1,5 %)</w:t>
      </w:r>
      <w:r w:rsidR="00EA6294" w:rsidRPr="00766112">
        <w:rPr>
          <w:rFonts w:ascii="Arial" w:hAnsi="Arial" w:cs="Arial"/>
          <w:bCs/>
          <w:sz w:val="24"/>
        </w:rPr>
        <w:t>, náklady kapitálu a cen</w:t>
      </w:r>
      <w:r w:rsidRPr="00766112">
        <w:rPr>
          <w:rFonts w:ascii="Arial" w:hAnsi="Arial" w:cs="Arial"/>
          <w:bCs/>
          <w:sz w:val="24"/>
        </w:rPr>
        <w:t>y</w:t>
      </w:r>
      <w:r w:rsidR="00EA6294" w:rsidRPr="00766112">
        <w:rPr>
          <w:rFonts w:ascii="Arial" w:hAnsi="Arial" w:cs="Arial"/>
          <w:bCs/>
          <w:sz w:val="24"/>
        </w:rPr>
        <w:t xml:space="preserve"> pohonných hmot. Citlivost vlivu těchto parametrů je demonstrována při </w:t>
      </w:r>
      <w:r w:rsidRPr="00766112">
        <w:rPr>
          <w:rFonts w:ascii="Arial" w:hAnsi="Arial" w:cs="Arial"/>
          <w:bCs/>
          <w:sz w:val="24"/>
        </w:rPr>
        <w:t>zpětném pohledu, kde však úspor</w:t>
      </w:r>
      <w:r w:rsidR="00431BBA" w:rsidRPr="00766112">
        <w:rPr>
          <w:rFonts w:ascii="Arial" w:hAnsi="Arial" w:cs="Arial"/>
          <w:bCs/>
          <w:sz w:val="24"/>
        </w:rPr>
        <w:t>y</w:t>
      </w:r>
      <w:r w:rsidRPr="00766112">
        <w:rPr>
          <w:rFonts w:ascii="Arial" w:hAnsi="Arial" w:cs="Arial"/>
          <w:bCs/>
          <w:sz w:val="24"/>
        </w:rPr>
        <w:t xml:space="preserve"> energie v výši 35 % vznikl</w:t>
      </w:r>
      <w:r w:rsidR="00431BBA" w:rsidRPr="00766112">
        <w:rPr>
          <w:rFonts w:ascii="Arial" w:hAnsi="Arial" w:cs="Arial"/>
          <w:bCs/>
          <w:sz w:val="24"/>
        </w:rPr>
        <w:t>y</w:t>
      </w:r>
      <w:r w:rsidRPr="00766112">
        <w:rPr>
          <w:rFonts w:ascii="Arial" w:hAnsi="Arial" w:cs="Arial"/>
          <w:bCs/>
          <w:sz w:val="24"/>
        </w:rPr>
        <w:t xml:space="preserve"> v </w:t>
      </w:r>
      <w:r w:rsidR="00EA6294" w:rsidRPr="00766112">
        <w:rPr>
          <w:rFonts w:ascii="Arial" w:hAnsi="Arial" w:cs="Arial"/>
          <w:bCs/>
          <w:sz w:val="24"/>
        </w:rPr>
        <w:t>důsledku hospodářské krize.</w:t>
      </w:r>
    </w:p>
    <w:p w:rsidR="00EA6294" w:rsidRDefault="00431BBA" w:rsidP="0038082D">
      <w:pPr>
        <w:pStyle w:val="Odstavecseseznamem"/>
        <w:numPr>
          <w:ilvl w:val="0"/>
          <w:numId w:val="3"/>
        </w:numPr>
        <w:tabs>
          <w:tab w:val="left" w:pos="284"/>
        </w:tabs>
        <w:ind w:left="284" w:hanging="284"/>
        <w:contextualSpacing w:val="0"/>
        <w:jc w:val="both"/>
        <w:rPr>
          <w:rFonts w:ascii="Arial" w:hAnsi="Arial" w:cs="Arial"/>
          <w:bCs/>
          <w:sz w:val="24"/>
        </w:rPr>
      </w:pPr>
      <w:r w:rsidRPr="00766112">
        <w:rPr>
          <w:rFonts w:ascii="Arial" w:hAnsi="Arial" w:cs="Arial"/>
          <w:bCs/>
          <w:sz w:val="24"/>
        </w:rPr>
        <w:t xml:space="preserve">Dosahování </w:t>
      </w:r>
      <w:r w:rsidR="001B2D22" w:rsidRPr="00766112">
        <w:rPr>
          <w:rFonts w:ascii="Arial" w:hAnsi="Arial" w:cs="Arial"/>
          <w:bCs/>
          <w:sz w:val="24"/>
        </w:rPr>
        <w:t xml:space="preserve">úspor </w:t>
      </w:r>
      <w:r w:rsidRPr="00766112">
        <w:rPr>
          <w:rFonts w:ascii="Arial" w:hAnsi="Arial" w:cs="Arial"/>
          <w:bCs/>
          <w:sz w:val="24"/>
        </w:rPr>
        <w:t xml:space="preserve">energie se překrývá s EU-ETS a zvyšování cíle </w:t>
      </w:r>
      <w:r w:rsidR="001B2D22" w:rsidRPr="00766112">
        <w:rPr>
          <w:rFonts w:ascii="Arial" w:hAnsi="Arial" w:cs="Arial"/>
          <w:bCs/>
          <w:sz w:val="24"/>
        </w:rPr>
        <w:t xml:space="preserve">má </w:t>
      </w:r>
      <w:r w:rsidR="00EA6294" w:rsidRPr="00766112">
        <w:rPr>
          <w:rFonts w:ascii="Arial" w:hAnsi="Arial" w:cs="Arial"/>
          <w:bCs/>
          <w:sz w:val="24"/>
        </w:rPr>
        <w:t xml:space="preserve">negativní </w:t>
      </w:r>
      <w:r w:rsidRPr="00766112">
        <w:rPr>
          <w:rFonts w:ascii="Arial" w:hAnsi="Arial" w:cs="Arial"/>
          <w:bCs/>
          <w:sz w:val="24"/>
        </w:rPr>
        <w:t xml:space="preserve">vliv na ceny emisních povolenek, kde budoucí pokles ceny povolenky je odhadován na </w:t>
      </w:r>
      <w:r w:rsidR="00EA6294" w:rsidRPr="00766112">
        <w:rPr>
          <w:rFonts w:ascii="Arial" w:hAnsi="Arial" w:cs="Arial"/>
          <w:bCs/>
          <w:sz w:val="24"/>
        </w:rPr>
        <w:t>35</w:t>
      </w:r>
      <w:r w:rsidR="0038082D">
        <w:rPr>
          <w:rFonts w:ascii="Arial" w:hAnsi="Arial" w:cs="Arial"/>
          <w:bCs/>
          <w:sz w:val="24"/>
        </w:rPr>
        <w:t xml:space="preserve"> </w:t>
      </w:r>
      <w:r w:rsidR="00EA6294" w:rsidRPr="00766112">
        <w:rPr>
          <w:rFonts w:ascii="Arial" w:hAnsi="Arial" w:cs="Arial"/>
          <w:bCs/>
          <w:sz w:val="24"/>
        </w:rPr>
        <w:t xml:space="preserve">% (od 42 </w:t>
      </w:r>
      <w:r w:rsidR="0038082D">
        <w:rPr>
          <w:rFonts w:ascii="Arial" w:hAnsi="Arial" w:cs="Arial"/>
          <w:bCs/>
          <w:sz w:val="24"/>
        </w:rPr>
        <w:t xml:space="preserve">po </w:t>
      </w:r>
      <w:r w:rsidR="00EA6294" w:rsidRPr="00766112">
        <w:rPr>
          <w:rFonts w:ascii="Arial" w:hAnsi="Arial" w:cs="Arial"/>
          <w:bCs/>
          <w:sz w:val="24"/>
        </w:rPr>
        <w:t>27 EUR</w:t>
      </w:r>
      <w:r w:rsidR="0038082D">
        <w:rPr>
          <w:rFonts w:ascii="Arial" w:hAnsi="Arial" w:cs="Arial"/>
          <w:bCs/>
          <w:sz w:val="24"/>
        </w:rPr>
        <w:t>O</w:t>
      </w:r>
      <w:r w:rsidR="00EA6294" w:rsidRPr="00766112">
        <w:rPr>
          <w:rFonts w:ascii="Arial" w:hAnsi="Arial" w:cs="Arial"/>
          <w:bCs/>
          <w:sz w:val="24"/>
        </w:rPr>
        <w:t>/t</w:t>
      </w:r>
      <w:r w:rsidRPr="00766112">
        <w:rPr>
          <w:rFonts w:ascii="Arial" w:hAnsi="Arial" w:cs="Arial"/>
          <w:bCs/>
          <w:sz w:val="24"/>
        </w:rPr>
        <w:t xml:space="preserve"> – viz tabulka č. 10</w:t>
      </w:r>
      <w:r w:rsidR="0038082D">
        <w:rPr>
          <w:rFonts w:ascii="Arial" w:hAnsi="Arial" w:cs="Arial"/>
          <w:bCs/>
          <w:sz w:val="24"/>
        </w:rPr>
        <w:t xml:space="preserve"> studie</w:t>
      </w:r>
      <w:r w:rsidR="00EA6294" w:rsidRPr="00766112">
        <w:rPr>
          <w:rFonts w:ascii="Arial" w:hAnsi="Arial" w:cs="Arial"/>
          <w:bCs/>
          <w:sz w:val="24"/>
        </w:rPr>
        <w:t>)</w:t>
      </w:r>
      <w:r w:rsidRPr="00766112">
        <w:rPr>
          <w:rFonts w:ascii="Arial" w:hAnsi="Arial" w:cs="Arial"/>
          <w:bCs/>
          <w:sz w:val="24"/>
        </w:rPr>
        <w:t xml:space="preserve">. </w:t>
      </w:r>
      <w:r w:rsidR="00EA6294" w:rsidRPr="00766112">
        <w:rPr>
          <w:rFonts w:ascii="Arial" w:hAnsi="Arial" w:cs="Arial"/>
          <w:bCs/>
          <w:sz w:val="24"/>
        </w:rPr>
        <w:t>To má přímý a</w:t>
      </w:r>
      <w:r w:rsidRPr="00766112">
        <w:rPr>
          <w:rFonts w:ascii="Arial" w:hAnsi="Arial" w:cs="Arial"/>
          <w:bCs/>
          <w:sz w:val="24"/>
        </w:rPr>
        <w:t> </w:t>
      </w:r>
      <w:r w:rsidR="00EA6294" w:rsidRPr="00766112">
        <w:rPr>
          <w:rFonts w:ascii="Arial" w:hAnsi="Arial" w:cs="Arial"/>
          <w:bCs/>
          <w:sz w:val="24"/>
        </w:rPr>
        <w:t xml:space="preserve">významný </w:t>
      </w:r>
      <w:r w:rsidRPr="00766112">
        <w:rPr>
          <w:rFonts w:ascii="Arial" w:hAnsi="Arial" w:cs="Arial"/>
          <w:bCs/>
          <w:sz w:val="24"/>
        </w:rPr>
        <w:t xml:space="preserve">dopad na složení </w:t>
      </w:r>
      <w:r w:rsidR="00EA6294" w:rsidRPr="00766112">
        <w:rPr>
          <w:rFonts w:ascii="Arial" w:hAnsi="Arial" w:cs="Arial"/>
          <w:bCs/>
          <w:sz w:val="24"/>
        </w:rPr>
        <w:t>palivové</w:t>
      </w:r>
      <w:r w:rsidRPr="00766112">
        <w:rPr>
          <w:rFonts w:ascii="Arial" w:hAnsi="Arial" w:cs="Arial"/>
          <w:bCs/>
          <w:sz w:val="24"/>
        </w:rPr>
        <w:t>ho</w:t>
      </w:r>
      <w:r w:rsidR="00EA6294" w:rsidRPr="00766112">
        <w:rPr>
          <w:rFonts w:ascii="Arial" w:hAnsi="Arial" w:cs="Arial"/>
          <w:bCs/>
          <w:sz w:val="24"/>
        </w:rPr>
        <w:t xml:space="preserve"> mixu v Evropě, jak </w:t>
      </w:r>
      <w:r w:rsidRPr="00766112">
        <w:rPr>
          <w:rFonts w:ascii="Arial" w:hAnsi="Arial" w:cs="Arial"/>
          <w:bCs/>
          <w:sz w:val="24"/>
        </w:rPr>
        <w:t>uvádí tabulka zde níže.</w:t>
      </w:r>
      <w:r w:rsidR="00EA6294" w:rsidRPr="00766112">
        <w:rPr>
          <w:rFonts w:ascii="Arial" w:hAnsi="Arial" w:cs="Arial"/>
          <w:bCs/>
          <w:sz w:val="24"/>
        </w:rPr>
        <w:t xml:space="preserve"> Podíl uhlí</w:t>
      </w:r>
      <w:r w:rsidRPr="00766112">
        <w:rPr>
          <w:rFonts w:ascii="Arial" w:hAnsi="Arial" w:cs="Arial"/>
          <w:bCs/>
          <w:sz w:val="24"/>
        </w:rPr>
        <w:t xml:space="preserve"> v energetickém mixu se ve vazbě na navýšení cíle energetické účinnosti na 30 % ve skutečnosti zvyšuje, zatímco </w:t>
      </w:r>
      <w:r w:rsidR="00EA6294" w:rsidRPr="00766112">
        <w:rPr>
          <w:rFonts w:ascii="Arial" w:hAnsi="Arial" w:cs="Arial"/>
          <w:bCs/>
          <w:sz w:val="24"/>
        </w:rPr>
        <w:t>všechny ostatní zdroje energie</w:t>
      </w:r>
      <w:r w:rsidRPr="00766112">
        <w:rPr>
          <w:rFonts w:ascii="Arial" w:hAnsi="Arial" w:cs="Arial"/>
          <w:bCs/>
          <w:sz w:val="24"/>
        </w:rPr>
        <w:t>,</w:t>
      </w:r>
      <w:r w:rsidR="00EA6294" w:rsidRPr="00766112">
        <w:rPr>
          <w:rFonts w:ascii="Arial" w:hAnsi="Arial" w:cs="Arial"/>
          <w:bCs/>
          <w:sz w:val="24"/>
        </w:rPr>
        <w:t xml:space="preserve"> včetně zemního plynu a obnovitelných zdrojů energie</w:t>
      </w:r>
      <w:r w:rsidRPr="00766112">
        <w:rPr>
          <w:rFonts w:ascii="Arial" w:hAnsi="Arial" w:cs="Arial"/>
          <w:bCs/>
          <w:sz w:val="24"/>
        </w:rPr>
        <w:t xml:space="preserve">, se </w:t>
      </w:r>
      <w:r w:rsidR="00EA6294" w:rsidRPr="00766112">
        <w:rPr>
          <w:rFonts w:ascii="Arial" w:hAnsi="Arial" w:cs="Arial"/>
          <w:bCs/>
          <w:sz w:val="24"/>
        </w:rPr>
        <w:t>sn</w:t>
      </w:r>
      <w:r w:rsidRPr="00766112">
        <w:rPr>
          <w:rFonts w:ascii="Arial" w:hAnsi="Arial" w:cs="Arial"/>
          <w:bCs/>
          <w:sz w:val="24"/>
        </w:rPr>
        <w:t>ižují</w:t>
      </w:r>
      <w:r w:rsidR="00EA6294" w:rsidRPr="00766112">
        <w:rPr>
          <w:rFonts w:ascii="Arial" w:hAnsi="Arial" w:cs="Arial"/>
          <w:bCs/>
          <w:sz w:val="24"/>
        </w:rPr>
        <w:t>.</w:t>
      </w:r>
    </w:p>
    <w:p w:rsidR="0038082D" w:rsidRPr="0038082D" w:rsidRDefault="0038082D" w:rsidP="0038082D">
      <w:pPr>
        <w:tabs>
          <w:tab w:val="left" w:pos="284"/>
        </w:tabs>
        <w:jc w:val="both"/>
        <w:rPr>
          <w:rFonts w:ascii="Arial" w:hAnsi="Arial" w:cs="Arial"/>
          <w:bCs/>
          <w:sz w:val="24"/>
        </w:rPr>
      </w:pPr>
    </w:p>
    <w:tbl>
      <w:tblPr>
        <w:tblStyle w:val="Mkatabulky"/>
        <w:tblW w:w="0" w:type="auto"/>
        <w:tblInd w:w="108" w:type="dxa"/>
        <w:tblLayout w:type="fixed"/>
        <w:tblLook w:val="04A0"/>
      </w:tblPr>
      <w:tblGrid>
        <w:gridCol w:w="3119"/>
        <w:gridCol w:w="1984"/>
        <w:gridCol w:w="993"/>
        <w:gridCol w:w="1417"/>
        <w:gridCol w:w="851"/>
        <w:gridCol w:w="740"/>
      </w:tblGrid>
      <w:tr w:rsidR="003614EF" w:rsidRPr="00766112" w:rsidTr="00E94049">
        <w:tc>
          <w:tcPr>
            <w:tcW w:w="3119" w:type="dxa"/>
            <w:vAlign w:val="center"/>
          </w:tcPr>
          <w:p w:rsidR="003614EF" w:rsidRPr="00766112" w:rsidRDefault="003614EF" w:rsidP="0038082D">
            <w:pPr>
              <w:jc w:val="center"/>
              <w:rPr>
                <w:rFonts w:ascii="Arial" w:hAnsi="Arial" w:cs="Arial"/>
                <w:bCs/>
              </w:rPr>
            </w:pPr>
            <w:r w:rsidRPr="00766112">
              <w:rPr>
                <w:rFonts w:ascii="Arial" w:hAnsi="Arial" w:cs="Arial"/>
                <w:bCs/>
              </w:rPr>
              <w:t>hrubá domácí spotřeba</w:t>
            </w:r>
          </w:p>
        </w:tc>
        <w:tc>
          <w:tcPr>
            <w:tcW w:w="1984" w:type="dxa"/>
            <w:vAlign w:val="center"/>
          </w:tcPr>
          <w:p w:rsidR="003614EF" w:rsidRPr="00766112" w:rsidRDefault="003614EF" w:rsidP="0038082D">
            <w:pPr>
              <w:jc w:val="center"/>
              <w:rPr>
                <w:rFonts w:ascii="Arial" w:hAnsi="Arial" w:cs="Arial"/>
                <w:bCs/>
              </w:rPr>
            </w:pPr>
            <w:r w:rsidRPr="00766112">
              <w:rPr>
                <w:rFonts w:ascii="Arial" w:hAnsi="Arial" w:cs="Arial"/>
                <w:bCs/>
              </w:rPr>
              <w:t>pevná paliva</w:t>
            </w:r>
          </w:p>
        </w:tc>
        <w:tc>
          <w:tcPr>
            <w:tcW w:w="993" w:type="dxa"/>
            <w:vAlign w:val="center"/>
          </w:tcPr>
          <w:p w:rsidR="003614EF" w:rsidRPr="00766112" w:rsidRDefault="003614EF" w:rsidP="0038082D">
            <w:pPr>
              <w:jc w:val="center"/>
              <w:rPr>
                <w:rFonts w:ascii="Arial" w:hAnsi="Arial" w:cs="Arial"/>
                <w:bCs/>
              </w:rPr>
            </w:pPr>
            <w:r w:rsidRPr="00766112">
              <w:rPr>
                <w:rFonts w:ascii="Arial" w:hAnsi="Arial" w:cs="Arial"/>
                <w:bCs/>
              </w:rPr>
              <w:t>ropa</w:t>
            </w:r>
          </w:p>
        </w:tc>
        <w:tc>
          <w:tcPr>
            <w:tcW w:w="1417" w:type="dxa"/>
            <w:vAlign w:val="center"/>
          </w:tcPr>
          <w:p w:rsidR="003614EF" w:rsidRPr="00766112" w:rsidRDefault="003614EF" w:rsidP="0038082D">
            <w:pPr>
              <w:jc w:val="center"/>
              <w:rPr>
                <w:rFonts w:ascii="Arial" w:hAnsi="Arial" w:cs="Arial"/>
                <w:bCs/>
              </w:rPr>
            </w:pPr>
            <w:r w:rsidRPr="00766112">
              <w:rPr>
                <w:rFonts w:ascii="Arial" w:hAnsi="Arial" w:cs="Arial"/>
                <w:bCs/>
              </w:rPr>
              <w:t>zemní plyn</w:t>
            </w:r>
          </w:p>
        </w:tc>
        <w:tc>
          <w:tcPr>
            <w:tcW w:w="851" w:type="dxa"/>
            <w:vAlign w:val="center"/>
          </w:tcPr>
          <w:p w:rsidR="003614EF" w:rsidRPr="00766112" w:rsidRDefault="003614EF" w:rsidP="0038082D">
            <w:pPr>
              <w:jc w:val="center"/>
              <w:rPr>
                <w:rFonts w:ascii="Arial" w:hAnsi="Arial" w:cs="Arial"/>
                <w:bCs/>
              </w:rPr>
            </w:pPr>
            <w:r w:rsidRPr="00766112">
              <w:rPr>
                <w:rFonts w:ascii="Arial" w:hAnsi="Arial" w:cs="Arial"/>
                <w:bCs/>
              </w:rPr>
              <w:t>jádro</w:t>
            </w:r>
          </w:p>
        </w:tc>
        <w:tc>
          <w:tcPr>
            <w:tcW w:w="740" w:type="dxa"/>
            <w:vAlign w:val="center"/>
          </w:tcPr>
          <w:p w:rsidR="003614EF" w:rsidRPr="00766112" w:rsidRDefault="003614EF" w:rsidP="0038082D">
            <w:pPr>
              <w:jc w:val="center"/>
              <w:rPr>
                <w:rFonts w:ascii="Arial" w:hAnsi="Arial" w:cs="Arial"/>
                <w:bCs/>
              </w:rPr>
            </w:pPr>
            <w:r w:rsidRPr="00766112">
              <w:rPr>
                <w:rFonts w:ascii="Arial" w:hAnsi="Arial" w:cs="Arial"/>
                <w:bCs/>
              </w:rPr>
              <w:t>OZE</w:t>
            </w:r>
          </w:p>
        </w:tc>
      </w:tr>
      <w:tr w:rsidR="003614EF" w:rsidRPr="00766112" w:rsidTr="00E94049">
        <w:tc>
          <w:tcPr>
            <w:tcW w:w="3119" w:type="dxa"/>
            <w:vAlign w:val="center"/>
          </w:tcPr>
          <w:p w:rsidR="003614EF" w:rsidRPr="00766112" w:rsidRDefault="003614EF" w:rsidP="0038082D">
            <w:pPr>
              <w:jc w:val="center"/>
              <w:rPr>
                <w:rFonts w:ascii="Arial" w:hAnsi="Arial" w:cs="Arial"/>
                <w:bCs/>
              </w:rPr>
            </w:pPr>
            <w:r w:rsidRPr="00766112">
              <w:rPr>
                <w:rFonts w:ascii="Arial" w:hAnsi="Arial" w:cs="Arial"/>
                <w:bCs/>
              </w:rPr>
              <w:t>% změna EU 27</w:t>
            </w:r>
          </w:p>
        </w:tc>
        <w:tc>
          <w:tcPr>
            <w:tcW w:w="1984" w:type="dxa"/>
            <w:vAlign w:val="center"/>
          </w:tcPr>
          <w:p w:rsidR="003614EF" w:rsidRPr="00766112" w:rsidRDefault="003614EF" w:rsidP="0038082D">
            <w:pPr>
              <w:jc w:val="center"/>
              <w:rPr>
                <w:rFonts w:ascii="Arial" w:hAnsi="Arial" w:cs="Arial"/>
                <w:bCs/>
              </w:rPr>
            </w:pPr>
            <w:r w:rsidRPr="00766112">
              <w:rPr>
                <w:rFonts w:ascii="Arial" w:hAnsi="Arial" w:cs="Arial"/>
                <w:bCs/>
              </w:rPr>
              <w:t>+ 4</w:t>
            </w:r>
          </w:p>
        </w:tc>
        <w:tc>
          <w:tcPr>
            <w:tcW w:w="993" w:type="dxa"/>
            <w:vAlign w:val="center"/>
          </w:tcPr>
          <w:p w:rsidR="003614EF" w:rsidRPr="00766112" w:rsidRDefault="003614EF" w:rsidP="0038082D">
            <w:pPr>
              <w:jc w:val="center"/>
              <w:rPr>
                <w:rFonts w:ascii="Arial" w:hAnsi="Arial" w:cs="Arial"/>
                <w:bCs/>
              </w:rPr>
            </w:pPr>
            <w:r w:rsidRPr="00766112">
              <w:rPr>
                <w:rFonts w:ascii="Arial" w:hAnsi="Arial" w:cs="Arial"/>
                <w:bCs/>
              </w:rPr>
              <w:t>- 2</w:t>
            </w:r>
          </w:p>
        </w:tc>
        <w:tc>
          <w:tcPr>
            <w:tcW w:w="1417" w:type="dxa"/>
            <w:vAlign w:val="center"/>
          </w:tcPr>
          <w:p w:rsidR="003614EF" w:rsidRPr="00766112" w:rsidRDefault="003614EF" w:rsidP="0038082D">
            <w:pPr>
              <w:jc w:val="center"/>
              <w:rPr>
                <w:rFonts w:ascii="Arial" w:hAnsi="Arial" w:cs="Arial"/>
                <w:bCs/>
              </w:rPr>
            </w:pPr>
            <w:r w:rsidRPr="00766112">
              <w:rPr>
                <w:rFonts w:ascii="Arial" w:hAnsi="Arial" w:cs="Arial"/>
                <w:bCs/>
              </w:rPr>
              <w:t>- 10</w:t>
            </w:r>
          </w:p>
        </w:tc>
        <w:tc>
          <w:tcPr>
            <w:tcW w:w="851" w:type="dxa"/>
            <w:vAlign w:val="center"/>
          </w:tcPr>
          <w:p w:rsidR="003614EF" w:rsidRPr="00766112" w:rsidRDefault="003614EF" w:rsidP="0038082D">
            <w:pPr>
              <w:jc w:val="center"/>
              <w:rPr>
                <w:rFonts w:ascii="Arial" w:hAnsi="Arial" w:cs="Arial"/>
                <w:bCs/>
              </w:rPr>
            </w:pPr>
            <w:r w:rsidRPr="00766112">
              <w:rPr>
                <w:rFonts w:ascii="Arial" w:hAnsi="Arial" w:cs="Arial"/>
                <w:bCs/>
              </w:rPr>
              <w:t>- 1</w:t>
            </w:r>
          </w:p>
        </w:tc>
        <w:tc>
          <w:tcPr>
            <w:tcW w:w="740" w:type="dxa"/>
            <w:vAlign w:val="center"/>
          </w:tcPr>
          <w:p w:rsidR="003614EF" w:rsidRPr="00766112" w:rsidRDefault="003614EF" w:rsidP="0038082D">
            <w:pPr>
              <w:jc w:val="center"/>
              <w:rPr>
                <w:rFonts w:ascii="Arial" w:hAnsi="Arial" w:cs="Arial"/>
                <w:bCs/>
              </w:rPr>
            </w:pPr>
            <w:r w:rsidRPr="00766112">
              <w:rPr>
                <w:rFonts w:ascii="Arial" w:hAnsi="Arial" w:cs="Arial"/>
                <w:bCs/>
              </w:rPr>
              <w:t>- 3</w:t>
            </w:r>
          </w:p>
        </w:tc>
      </w:tr>
    </w:tbl>
    <w:p w:rsidR="003614EF" w:rsidRPr="00E94049" w:rsidRDefault="003614EF" w:rsidP="0038082D">
      <w:pPr>
        <w:jc w:val="both"/>
        <w:rPr>
          <w:rFonts w:ascii="Arial" w:hAnsi="Arial" w:cs="Arial"/>
          <w:bCs/>
          <w:sz w:val="20"/>
          <w:szCs w:val="20"/>
        </w:rPr>
      </w:pPr>
      <w:r w:rsidRPr="00E94049">
        <w:rPr>
          <w:rFonts w:ascii="Arial" w:hAnsi="Arial" w:cs="Arial"/>
          <w:bCs/>
          <w:sz w:val="20"/>
          <w:szCs w:val="20"/>
        </w:rPr>
        <w:t>odvozeno z </w:t>
      </w:r>
      <w:r w:rsidR="0038082D" w:rsidRPr="00E94049">
        <w:rPr>
          <w:rFonts w:ascii="Arial" w:hAnsi="Arial" w:cs="Arial"/>
          <w:bCs/>
          <w:sz w:val="20"/>
          <w:szCs w:val="20"/>
        </w:rPr>
        <w:t>tabulky 6 dopadové studie k</w:t>
      </w:r>
      <w:r w:rsidR="003C43BF">
        <w:rPr>
          <w:rFonts w:ascii="Arial" w:hAnsi="Arial" w:cs="Arial"/>
          <w:bCs/>
          <w:sz w:val="20"/>
          <w:szCs w:val="20"/>
        </w:rPr>
        <w:t> </w:t>
      </w:r>
      <w:proofErr w:type="spellStart"/>
      <w:r w:rsidR="0038082D" w:rsidRPr="00E94049">
        <w:rPr>
          <w:rFonts w:ascii="Arial" w:hAnsi="Arial" w:cs="Arial"/>
          <w:bCs/>
          <w:sz w:val="20"/>
          <w:szCs w:val="20"/>
        </w:rPr>
        <w:t>EED</w:t>
      </w:r>
      <w:proofErr w:type="spellEnd"/>
      <w:r w:rsidR="003C43BF">
        <w:rPr>
          <w:rFonts w:ascii="Arial" w:hAnsi="Arial" w:cs="Arial"/>
          <w:bCs/>
          <w:sz w:val="20"/>
          <w:szCs w:val="20"/>
        </w:rPr>
        <w:t xml:space="preserve"> – </w:t>
      </w:r>
      <w:proofErr w:type="spellStart"/>
      <w:r w:rsidR="003C43BF">
        <w:rPr>
          <w:rFonts w:ascii="Arial" w:hAnsi="Arial" w:cs="Arial"/>
          <w:bCs/>
          <w:sz w:val="20"/>
          <w:szCs w:val="20"/>
        </w:rPr>
        <w:t>EUCO30</w:t>
      </w:r>
      <w:proofErr w:type="spellEnd"/>
    </w:p>
    <w:p w:rsidR="0038082D" w:rsidRPr="00766112" w:rsidRDefault="0038082D" w:rsidP="0038082D">
      <w:pPr>
        <w:jc w:val="both"/>
        <w:rPr>
          <w:rFonts w:ascii="Arial" w:hAnsi="Arial" w:cs="Arial"/>
          <w:bCs/>
          <w:sz w:val="24"/>
          <w:szCs w:val="24"/>
        </w:rPr>
      </w:pPr>
    </w:p>
    <w:p w:rsidR="003614EF" w:rsidRPr="00C6067C" w:rsidRDefault="003614EF" w:rsidP="0038082D">
      <w:pPr>
        <w:pStyle w:val="Odstavecseseznamem"/>
        <w:numPr>
          <w:ilvl w:val="0"/>
          <w:numId w:val="3"/>
        </w:numPr>
        <w:tabs>
          <w:tab w:val="left" w:pos="284"/>
        </w:tabs>
        <w:ind w:left="284" w:hanging="284"/>
        <w:contextualSpacing w:val="0"/>
        <w:jc w:val="both"/>
        <w:rPr>
          <w:rFonts w:ascii="Arial" w:hAnsi="Arial" w:cs="Arial"/>
          <w:bCs/>
          <w:sz w:val="24"/>
        </w:rPr>
      </w:pPr>
      <w:r w:rsidRPr="00C6067C">
        <w:rPr>
          <w:rFonts w:ascii="Arial" w:hAnsi="Arial" w:cs="Arial"/>
          <w:bCs/>
          <w:sz w:val="24"/>
        </w:rPr>
        <w:t xml:space="preserve">Klíčovou otázkou je zajištění finančních zdrojů pro podporu navrhovaných opatření. </w:t>
      </w:r>
      <w:r w:rsidR="00C6067C" w:rsidRPr="00C6067C">
        <w:rPr>
          <w:rFonts w:ascii="Arial" w:hAnsi="Arial" w:cs="Arial"/>
          <w:bCs/>
          <w:sz w:val="24"/>
        </w:rPr>
        <w:t>D</w:t>
      </w:r>
      <w:r w:rsidR="002E750B" w:rsidRPr="00C6067C">
        <w:rPr>
          <w:rFonts w:ascii="Arial" w:hAnsi="Arial" w:cs="Arial"/>
          <w:bCs/>
          <w:sz w:val="24"/>
        </w:rPr>
        <w:t xml:space="preserve">osažení cíle úspor 27 % oproti </w:t>
      </w:r>
      <w:r w:rsidR="00C6067C" w:rsidRPr="00C6067C">
        <w:rPr>
          <w:rFonts w:ascii="Arial" w:hAnsi="Arial" w:cs="Arial"/>
          <w:bCs/>
          <w:sz w:val="24"/>
        </w:rPr>
        <w:t>doposud přijatým závazkům znamená přibližně</w:t>
      </w:r>
      <w:r w:rsidR="00C6067C" w:rsidRPr="00C6067C">
        <w:rPr>
          <w:rFonts w:ascii="Arial" w:hAnsi="Arial" w:cs="Arial"/>
          <w:bCs/>
          <w:sz w:val="24"/>
        </w:rPr>
        <w:t>1</w:t>
      </w:r>
      <w:r w:rsidR="00C6067C" w:rsidRPr="00C6067C">
        <w:rPr>
          <w:rFonts w:ascii="Arial" w:hAnsi="Arial" w:cs="Arial"/>
          <w:bCs/>
          <w:sz w:val="24"/>
        </w:rPr>
        <w:t>93</w:t>
      </w:r>
      <w:r w:rsidR="00C6067C" w:rsidRPr="00C6067C">
        <w:rPr>
          <w:rFonts w:ascii="Arial" w:hAnsi="Arial" w:cs="Arial"/>
          <w:bCs/>
          <w:sz w:val="24"/>
        </w:rPr>
        <w:t xml:space="preserve"> EURO/rok a občana EU po dobu 10 let</w:t>
      </w:r>
      <w:r w:rsidR="00C6067C" w:rsidRPr="00C6067C">
        <w:rPr>
          <w:rFonts w:ascii="Arial" w:hAnsi="Arial" w:cs="Arial"/>
          <w:bCs/>
          <w:sz w:val="24"/>
        </w:rPr>
        <w:t>, při cíli úspor 30 % dalších 154 EURO/</w:t>
      </w:r>
      <w:r w:rsidR="00C6067C" w:rsidRPr="00C6067C">
        <w:rPr>
          <w:rFonts w:ascii="Arial" w:hAnsi="Arial" w:cs="Arial"/>
          <w:bCs/>
          <w:sz w:val="24"/>
        </w:rPr>
        <w:t>rok</w:t>
      </w:r>
      <w:r w:rsidR="00C6067C" w:rsidRPr="00C6067C">
        <w:rPr>
          <w:rFonts w:ascii="Arial" w:hAnsi="Arial" w:cs="Arial"/>
          <w:bCs/>
          <w:sz w:val="24"/>
        </w:rPr>
        <w:t xml:space="preserve">, dohromady tedy </w:t>
      </w:r>
      <w:r w:rsidR="00C6067C" w:rsidRPr="00B5678E">
        <w:rPr>
          <w:rFonts w:ascii="Arial" w:hAnsi="Arial" w:cs="Arial"/>
          <w:b/>
          <w:bCs/>
          <w:sz w:val="24"/>
        </w:rPr>
        <w:t>34</w:t>
      </w:r>
      <w:r w:rsidR="00B5678E" w:rsidRPr="00B5678E">
        <w:rPr>
          <w:rFonts w:ascii="Arial" w:hAnsi="Arial" w:cs="Arial"/>
          <w:b/>
          <w:bCs/>
          <w:sz w:val="24"/>
        </w:rPr>
        <w:t>7</w:t>
      </w:r>
      <w:r w:rsidR="00C6067C" w:rsidRPr="00B5678E">
        <w:rPr>
          <w:rFonts w:ascii="Arial" w:hAnsi="Arial" w:cs="Arial"/>
          <w:b/>
          <w:bCs/>
          <w:sz w:val="24"/>
        </w:rPr>
        <w:t xml:space="preserve"> EUR/rok a občana </w:t>
      </w:r>
      <w:r w:rsidR="00C6067C" w:rsidRPr="00B5678E">
        <w:rPr>
          <w:rFonts w:ascii="Arial" w:hAnsi="Arial" w:cs="Arial"/>
          <w:b/>
          <w:bCs/>
          <w:sz w:val="24"/>
        </w:rPr>
        <w:t>EU po dobu 10 let</w:t>
      </w:r>
      <w:r w:rsidR="00C6067C" w:rsidRPr="00C6067C">
        <w:rPr>
          <w:rFonts w:ascii="Arial" w:hAnsi="Arial" w:cs="Arial"/>
          <w:bCs/>
          <w:sz w:val="24"/>
        </w:rPr>
        <w:t xml:space="preserve"> </w:t>
      </w:r>
      <w:r w:rsidR="00C6067C" w:rsidRPr="00B5678E">
        <w:rPr>
          <w:rFonts w:ascii="Arial" w:hAnsi="Arial" w:cs="Arial"/>
          <w:bCs/>
          <w:i/>
          <w:sz w:val="24"/>
        </w:rPr>
        <w:t>(</w:t>
      </w:r>
      <w:r w:rsidR="00B5678E" w:rsidRPr="00B5678E">
        <w:rPr>
          <w:rFonts w:ascii="Arial" w:hAnsi="Arial" w:cs="Arial"/>
          <w:bCs/>
          <w:i/>
          <w:sz w:val="24"/>
        </w:rPr>
        <w:t xml:space="preserve">výpočet proveden pro období let </w:t>
      </w:r>
      <w:r w:rsidRPr="00B5678E">
        <w:rPr>
          <w:rFonts w:ascii="Arial" w:hAnsi="Arial" w:cs="Arial"/>
          <w:bCs/>
          <w:i/>
          <w:sz w:val="24"/>
        </w:rPr>
        <w:t>202</w:t>
      </w:r>
      <w:r w:rsidR="002E750B" w:rsidRPr="00B5678E">
        <w:rPr>
          <w:rFonts w:ascii="Arial" w:hAnsi="Arial" w:cs="Arial"/>
          <w:bCs/>
          <w:i/>
          <w:sz w:val="24"/>
        </w:rPr>
        <w:t>1</w:t>
      </w:r>
      <w:r w:rsidRPr="00B5678E">
        <w:rPr>
          <w:rFonts w:ascii="Arial" w:hAnsi="Arial" w:cs="Arial"/>
          <w:bCs/>
          <w:i/>
          <w:sz w:val="24"/>
        </w:rPr>
        <w:t xml:space="preserve"> – 2030 </w:t>
      </w:r>
      <w:r w:rsidR="00B5678E" w:rsidRPr="00B5678E">
        <w:rPr>
          <w:rFonts w:ascii="Arial" w:hAnsi="Arial" w:cs="Arial"/>
          <w:bCs/>
          <w:i/>
          <w:sz w:val="24"/>
        </w:rPr>
        <w:t xml:space="preserve">při srovnání scénáře Ref2016 se scénářem EUCO27 – navýšení průměrných investičních výdajů o 98 mld. EURO/rok, resp. EUCO30 </w:t>
      </w:r>
      <w:r w:rsidRPr="00B5678E">
        <w:rPr>
          <w:rFonts w:ascii="Arial" w:hAnsi="Arial" w:cs="Arial"/>
          <w:bCs/>
          <w:i/>
          <w:sz w:val="24"/>
        </w:rPr>
        <w:t xml:space="preserve">– </w:t>
      </w:r>
      <w:r w:rsidR="00B5678E" w:rsidRPr="00B5678E">
        <w:rPr>
          <w:rFonts w:ascii="Arial" w:hAnsi="Arial" w:cs="Arial"/>
          <w:bCs/>
          <w:i/>
          <w:sz w:val="24"/>
        </w:rPr>
        <w:t>navýšení oproti EUCO27 o dalších 78 mld. EURO/rok viz ta</w:t>
      </w:r>
      <w:r w:rsidR="001A557F" w:rsidRPr="00B5678E">
        <w:rPr>
          <w:rFonts w:ascii="Arial" w:hAnsi="Arial" w:cs="Arial"/>
          <w:bCs/>
          <w:i/>
          <w:sz w:val="24"/>
        </w:rPr>
        <w:t>b</w:t>
      </w:r>
      <w:r w:rsidR="00FC76D0" w:rsidRPr="00B5678E">
        <w:rPr>
          <w:rFonts w:ascii="Arial" w:hAnsi="Arial" w:cs="Arial"/>
          <w:bCs/>
          <w:i/>
          <w:sz w:val="24"/>
        </w:rPr>
        <w:t>.</w:t>
      </w:r>
      <w:r w:rsidR="001A557F" w:rsidRPr="00B5678E">
        <w:rPr>
          <w:rFonts w:ascii="Arial" w:hAnsi="Arial" w:cs="Arial"/>
          <w:bCs/>
          <w:i/>
          <w:sz w:val="24"/>
        </w:rPr>
        <w:t xml:space="preserve"> 22 dopadové studie </w:t>
      </w:r>
      <w:r w:rsidR="00B5678E" w:rsidRPr="00B5678E">
        <w:rPr>
          <w:rFonts w:ascii="Arial" w:hAnsi="Arial" w:cs="Arial"/>
          <w:bCs/>
          <w:i/>
          <w:sz w:val="24"/>
        </w:rPr>
        <w:t xml:space="preserve">EED </w:t>
      </w:r>
      <w:r w:rsidR="001A557F" w:rsidRPr="00B5678E">
        <w:rPr>
          <w:rFonts w:ascii="Arial" w:hAnsi="Arial" w:cs="Arial"/>
          <w:bCs/>
          <w:i/>
          <w:sz w:val="24"/>
        </w:rPr>
        <w:t>a počtu obyvatel EU ve výši 508 mil.</w:t>
      </w:r>
      <w:r w:rsidRPr="00B5678E">
        <w:rPr>
          <w:rFonts w:ascii="Arial" w:hAnsi="Arial" w:cs="Arial"/>
          <w:bCs/>
          <w:i/>
          <w:sz w:val="24"/>
        </w:rPr>
        <w:t>)</w:t>
      </w:r>
      <w:r w:rsidR="001A557F" w:rsidRPr="00C6067C">
        <w:rPr>
          <w:rFonts w:ascii="Arial" w:hAnsi="Arial" w:cs="Arial"/>
          <w:bCs/>
          <w:sz w:val="24"/>
        </w:rPr>
        <w:t xml:space="preserve">. </w:t>
      </w:r>
      <w:r w:rsidR="00B5678E">
        <w:rPr>
          <w:rFonts w:ascii="Arial" w:hAnsi="Arial" w:cs="Arial"/>
          <w:bCs/>
          <w:sz w:val="24"/>
        </w:rPr>
        <w:t xml:space="preserve">Průměrné roční </w:t>
      </w:r>
      <w:r w:rsidR="00EE2F09" w:rsidRPr="00C6067C">
        <w:rPr>
          <w:rFonts w:ascii="Arial" w:hAnsi="Arial" w:cs="Arial"/>
          <w:bCs/>
          <w:sz w:val="24"/>
        </w:rPr>
        <w:t xml:space="preserve">náklady na energetický systém </w:t>
      </w:r>
      <w:r w:rsidR="001A557F" w:rsidRPr="00C6067C">
        <w:rPr>
          <w:rFonts w:ascii="Arial" w:hAnsi="Arial" w:cs="Arial"/>
          <w:bCs/>
          <w:sz w:val="24"/>
        </w:rPr>
        <w:t xml:space="preserve">se </w:t>
      </w:r>
      <w:r w:rsidR="00EE2F09" w:rsidRPr="00C6067C">
        <w:rPr>
          <w:rFonts w:ascii="Arial" w:hAnsi="Arial" w:cs="Arial"/>
          <w:bCs/>
          <w:sz w:val="24"/>
        </w:rPr>
        <w:t xml:space="preserve">přitom zvýší pouze </w:t>
      </w:r>
      <w:r w:rsidR="00D11F30">
        <w:rPr>
          <w:rFonts w:ascii="Arial" w:hAnsi="Arial" w:cs="Arial"/>
          <w:bCs/>
          <w:sz w:val="24"/>
        </w:rPr>
        <w:t xml:space="preserve">o 30, resp. </w:t>
      </w:r>
      <w:r w:rsidR="001A557F" w:rsidRPr="00C6067C">
        <w:rPr>
          <w:rFonts w:ascii="Arial" w:hAnsi="Arial" w:cs="Arial"/>
          <w:bCs/>
          <w:sz w:val="24"/>
        </w:rPr>
        <w:t>18 EURO/rok a</w:t>
      </w:r>
      <w:r w:rsidR="00B5678E">
        <w:rPr>
          <w:rFonts w:ascii="Arial" w:hAnsi="Arial" w:cs="Arial"/>
          <w:bCs/>
          <w:sz w:val="24"/>
        </w:rPr>
        <w:t> </w:t>
      </w:r>
      <w:r w:rsidR="001A557F" w:rsidRPr="00C6067C">
        <w:rPr>
          <w:rFonts w:ascii="Arial" w:hAnsi="Arial" w:cs="Arial"/>
          <w:bCs/>
          <w:sz w:val="24"/>
        </w:rPr>
        <w:t>občana EU</w:t>
      </w:r>
      <w:r w:rsidR="00EE2F09" w:rsidRPr="00C6067C">
        <w:rPr>
          <w:rFonts w:ascii="Arial" w:hAnsi="Arial" w:cs="Arial"/>
          <w:bCs/>
          <w:sz w:val="24"/>
        </w:rPr>
        <w:t xml:space="preserve"> </w:t>
      </w:r>
      <w:r w:rsidR="00EE2F09" w:rsidRPr="00D11F30">
        <w:rPr>
          <w:rFonts w:ascii="Arial" w:hAnsi="Arial" w:cs="Arial"/>
          <w:bCs/>
          <w:i/>
          <w:sz w:val="24"/>
        </w:rPr>
        <w:t>(</w:t>
      </w:r>
      <w:r w:rsidR="00FC76D0" w:rsidRPr="00D11F30">
        <w:rPr>
          <w:rFonts w:ascii="Arial" w:hAnsi="Arial" w:cs="Arial"/>
          <w:bCs/>
          <w:i/>
          <w:sz w:val="24"/>
        </w:rPr>
        <w:t xml:space="preserve">navýšení o </w:t>
      </w:r>
      <w:r w:rsidR="00B5678E" w:rsidRPr="00D11F30">
        <w:rPr>
          <w:rFonts w:ascii="Arial" w:hAnsi="Arial" w:cs="Arial"/>
          <w:bCs/>
          <w:i/>
          <w:sz w:val="24"/>
        </w:rPr>
        <w:t xml:space="preserve">15 mld. EURO při srovnání Ref2016/EUCO27 resp. </w:t>
      </w:r>
      <w:r w:rsidR="00FC76D0" w:rsidRPr="00D11F30">
        <w:rPr>
          <w:rFonts w:ascii="Arial" w:hAnsi="Arial" w:cs="Arial"/>
          <w:bCs/>
          <w:i/>
          <w:sz w:val="24"/>
        </w:rPr>
        <w:t xml:space="preserve">9 mld. EURO při </w:t>
      </w:r>
      <w:r w:rsidR="00B5678E" w:rsidRPr="00D11F30">
        <w:rPr>
          <w:rFonts w:ascii="Arial" w:hAnsi="Arial" w:cs="Arial"/>
          <w:bCs/>
          <w:i/>
          <w:sz w:val="24"/>
        </w:rPr>
        <w:t xml:space="preserve">srovnání </w:t>
      </w:r>
      <w:r w:rsidR="00FC76D0" w:rsidRPr="00D11F30">
        <w:rPr>
          <w:rFonts w:ascii="Arial" w:hAnsi="Arial" w:cs="Arial"/>
          <w:bCs/>
          <w:i/>
          <w:sz w:val="24"/>
        </w:rPr>
        <w:t>EUCO27/30 viz tab. 24 dopadové studie</w:t>
      </w:r>
      <w:r w:rsidR="00B5678E" w:rsidRPr="00D11F30">
        <w:rPr>
          <w:rFonts w:ascii="Arial" w:hAnsi="Arial" w:cs="Arial"/>
          <w:bCs/>
          <w:i/>
          <w:sz w:val="24"/>
        </w:rPr>
        <w:t xml:space="preserve"> EED</w:t>
      </w:r>
      <w:r w:rsidR="00FC76D0" w:rsidRPr="00D11F30">
        <w:rPr>
          <w:rFonts w:ascii="Arial" w:hAnsi="Arial" w:cs="Arial"/>
          <w:bCs/>
          <w:i/>
          <w:sz w:val="24"/>
        </w:rPr>
        <w:t>)</w:t>
      </w:r>
      <w:r w:rsidR="001A557F" w:rsidRPr="00C6067C">
        <w:rPr>
          <w:rFonts w:ascii="Arial" w:hAnsi="Arial" w:cs="Arial"/>
          <w:bCs/>
          <w:sz w:val="24"/>
        </w:rPr>
        <w:t>.</w:t>
      </w:r>
    </w:p>
    <w:p w:rsidR="001A557F" w:rsidRPr="00766112" w:rsidRDefault="001A557F" w:rsidP="0038082D">
      <w:pPr>
        <w:pStyle w:val="Odstavecseseznamem"/>
        <w:numPr>
          <w:ilvl w:val="0"/>
          <w:numId w:val="3"/>
        </w:numPr>
        <w:tabs>
          <w:tab w:val="left" w:pos="284"/>
        </w:tabs>
        <w:ind w:left="284" w:hanging="284"/>
        <w:contextualSpacing w:val="0"/>
        <w:jc w:val="both"/>
        <w:rPr>
          <w:rFonts w:ascii="Arial" w:hAnsi="Arial" w:cs="Arial"/>
          <w:bCs/>
          <w:sz w:val="24"/>
        </w:rPr>
      </w:pPr>
      <w:r w:rsidRPr="00766112">
        <w:rPr>
          <w:rFonts w:ascii="Arial" w:hAnsi="Arial" w:cs="Arial"/>
          <w:bCs/>
          <w:sz w:val="24"/>
        </w:rPr>
        <w:t>V dopadové stu</w:t>
      </w:r>
      <w:r w:rsidR="0038082D">
        <w:rPr>
          <w:rFonts w:ascii="Arial" w:hAnsi="Arial" w:cs="Arial"/>
          <w:bCs/>
          <w:sz w:val="24"/>
        </w:rPr>
        <w:t>d</w:t>
      </w:r>
      <w:r w:rsidRPr="00766112">
        <w:rPr>
          <w:rFonts w:ascii="Arial" w:hAnsi="Arial" w:cs="Arial"/>
          <w:bCs/>
          <w:sz w:val="24"/>
        </w:rPr>
        <w:t>ii není často zřejmé z jakých údajů vychází, např. jaký je nezbytný podíl renovací k dosažení stanoveného cíle a jakou má vazbu na reálný podíl, který je v EU v současnosti cca 1 %.</w:t>
      </w:r>
    </w:p>
    <w:p w:rsidR="003614EF" w:rsidRDefault="00EA2B89" w:rsidP="0038082D">
      <w:pPr>
        <w:pStyle w:val="Odstavecseseznamem"/>
        <w:numPr>
          <w:ilvl w:val="0"/>
          <w:numId w:val="3"/>
        </w:numPr>
        <w:tabs>
          <w:tab w:val="left" w:pos="284"/>
        </w:tabs>
        <w:ind w:left="284" w:hanging="284"/>
        <w:contextualSpacing w:val="0"/>
        <w:jc w:val="both"/>
        <w:rPr>
          <w:rFonts w:ascii="Arial" w:hAnsi="Arial" w:cs="Arial"/>
          <w:bCs/>
          <w:sz w:val="24"/>
        </w:rPr>
      </w:pPr>
      <w:r w:rsidRPr="00766112">
        <w:rPr>
          <w:rFonts w:ascii="Arial" w:hAnsi="Arial" w:cs="Arial"/>
          <w:bCs/>
          <w:sz w:val="24"/>
        </w:rPr>
        <w:t>Podorobnější vysvětlení by si zasloužilo navrhované výrazné snížení diskontních sazeb u energetických investic. Například diskontní sazba pro energeticky náročný průmysl je nyní na stejné úrovni jako u regulovaného monopolního provozovatele sítě. Diskontní sazb</w:t>
      </w:r>
      <w:r w:rsidR="007D3952">
        <w:rPr>
          <w:rFonts w:ascii="Arial" w:hAnsi="Arial" w:cs="Arial"/>
          <w:bCs/>
          <w:sz w:val="24"/>
        </w:rPr>
        <w:t>a</w:t>
      </w:r>
      <w:r w:rsidRPr="00766112">
        <w:rPr>
          <w:rFonts w:ascii="Arial" w:hAnsi="Arial" w:cs="Arial"/>
          <w:bCs/>
          <w:sz w:val="24"/>
        </w:rPr>
        <w:t xml:space="preserve"> pro domácnosti s</w:t>
      </w:r>
      <w:r w:rsidR="007D3952">
        <w:rPr>
          <w:rFonts w:ascii="Arial" w:hAnsi="Arial" w:cs="Arial"/>
          <w:bCs/>
          <w:sz w:val="24"/>
        </w:rPr>
        <w:t>e</w:t>
      </w:r>
      <w:r w:rsidRPr="00766112">
        <w:rPr>
          <w:rFonts w:ascii="Arial" w:hAnsi="Arial" w:cs="Arial"/>
          <w:bCs/>
          <w:sz w:val="24"/>
        </w:rPr>
        <w:t xml:space="preserve"> propadl</w:t>
      </w:r>
      <w:r w:rsidR="007D3952">
        <w:rPr>
          <w:rFonts w:ascii="Arial" w:hAnsi="Arial" w:cs="Arial"/>
          <w:bCs/>
          <w:sz w:val="24"/>
        </w:rPr>
        <w:t>a</w:t>
      </w:r>
      <w:r w:rsidRPr="00766112">
        <w:rPr>
          <w:rFonts w:ascii="Arial" w:hAnsi="Arial" w:cs="Arial"/>
          <w:bCs/>
          <w:sz w:val="24"/>
        </w:rPr>
        <w:t xml:space="preserve"> z hodnoty 17,5 % v refer</w:t>
      </w:r>
      <w:r w:rsidR="005D39B9">
        <w:rPr>
          <w:rFonts w:ascii="Arial" w:hAnsi="Arial" w:cs="Arial"/>
          <w:bCs/>
          <w:sz w:val="24"/>
        </w:rPr>
        <w:t>e</w:t>
      </w:r>
      <w:r w:rsidRPr="00766112">
        <w:rPr>
          <w:rFonts w:ascii="Arial" w:hAnsi="Arial" w:cs="Arial"/>
          <w:bCs/>
          <w:sz w:val="24"/>
        </w:rPr>
        <w:t>nčním scénáři roku 2013 na rozpětí 10-12 % v dopadové studii.</w:t>
      </w:r>
    </w:p>
    <w:p w:rsidR="0038082D" w:rsidRPr="0038082D" w:rsidRDefault="0038082D" w:rsidP="0038082D">
      <w:pPr>
        <w:tabs>
          <w:tab w:val="left" w:pos="284"/>
        </w:tabs>
        <w:jc w:val="both"/>
        <w:rPr>
          <w:rFonts w:ascii="Arial" w:hAnsi="Arial" w:cs="Arial"/>
          <w:bCs/>
          <w:sz w:val="24"/>
        </w:rPr>
      </w:pPr>
    </w:p>
    <w:p w:rsidR="003614EF" w:rsidRDefault="00024096" w:rsidP="0038082D">
      <w:pPr>
        <w:jc w:val="both"/>
        <w:rPr>
          <w:rFonts w:ascii="Arial" w:hAnsi="Arial" w:cs="Arial"/>
          <w:bCs/>
          <w:sz w:val="24"/>
          <w:szCs w:val="24"/>
        </w:rPr>
      </w:pPr>
      <w:r w:rsidRPr="00766112">
        <w:rPr>
          <w:rFonts w:ascii="Arial" w:hAnsi="Arial" w:cs="Arial"/>
          <w:bCs/>
          <w:sz w:val="24"/>
          <w:szCs w:val="24"/>
        </w:rPr>
        <w:t>Navrhovaná změna ve vyjádření cíle pro rok 2020 jak v</w:t>
      </w:r>
      <w:r w:rsidR="005D39B9">
        <w:rPr>
          <w:rFonts w:ascii="Arial" w:hAnsi="Arial" w:cs="Arial"/>
          <w:bCs/>
          <w:sz w:val="24"/>
          <w:szCs w:val="24"/>
        </w:rPr>
        <w:t> </w:t>
      </w:r>
      <w:r w:rsidRPr="00766112">
        <w:rPr>
          <w:rFonts w:ascii="Arial" w:hAnsi="Arial" w:cs="Arial"/>
          <w:bCs/>
          <w:sz w:val="24"/>
          <w:szCs w:val="24"/>
        </w:rPr>
        <w:t>konečné</w:t>
      </w:r>
      <w:r w:rsidR="005D39B9">
        <w:rPr>
          <w:rFonts w:ascii="Arial" w:hAnsi="Arial" w:cs="Arial"/>
          <w:bCs/>
          <w:sz w:val="24"/>
          <w:szCs w:val="24"/>
        </w:rPr>
        <w:t>,</w:t>
      </w:r>
      <w:r w:rsidRPr="00766112">
        <w:rPr>
          <w:rFonts w:ascii="Arial" w:hAnsi="Arial" w:cs="Arial"/>
          <w:bCs/>
          <w:sz w:val="24"/>
          <w:szCs w:val="24"/>
        </w:rPr>
        <w:t xml:space="preserve"> tak primární spotřebě energie, je zásadní změnou, kterou spíš než </w:t>
      </w:r>
      <w:r w:rsidR="000275FE" w:rsidRPr="00766112">
        <w:rPr>
          <w:rFonts w:ascii="Arial" w:hAnsi="Arial" w:cs="Arial"/>
          <w:bCs/>
          <w:sz w:val="24"/>
          <w:szCs w:val="24"/>
        </w:rPr>
        <w:t xml:space="preserve">za </w:t>
      </w:r>
      <w:r w:rsidRPr="00766112">
        <w:rPr>
          <w:rFonts w:ascii="Arial" w:hAnsi="Arial" w:cs="Arial"/>
          <w:bCs/>
          <w:sz w:val="24"/>
          <w:szCs w:val="24"/>
        </w:rPr>
        <w:t>zpřesnění lze považovat za retroaktivní opatření. Stávající závazné cíle stanovené členskými státy by neměly být měněny před koncem sledovaného období.</w:t>
      </w:r>
    </w:p>
    <w:p w:rsidR="0038082D" w:rsidRPr="00766112" w:rsidRDefault="0038082D" w:rsidP="0038082D">
      <w:pPr>
        <w:jc w:val="both"/>
        <w:rPr>
          <w:rFonts w:ascii="Arial" w:hAnsi="Arial" w:cs="Arial"/>
          <w:bCs/>
          <w:sz w:val="24"/>
          <w:szCs w:val="24"/>
        </w:rPr>
      </w:pPr>
    </w:p>
    <w:p w:rsidR="00C13BBF" w:rsidRDefault="000275FE" w:rsidP="0038082D">
      <w:pPr>
        <w:jc w:val="both"/>
        <w:rPr>
          <w:rFonts w:ascii="Arial" w:hAnsi="Arial" w:cs="Arial"/>
          <w:bCs/>
          <w:sz w:val="24"/>
          <w:szCs w:val="24"/>
        </w:rPr>
      </w:pPr>
      <w:r w:rsidRPr="00766112">
        <w:rPr>
          <w:rFonts w:ascii="Arial" w:hAnsi="Arial" w:cs="Arial"/>
          <w:bCs/>
          <w:sz w:val="24"/>
          <w:szCs w:val="24"/>
        </w:rPr>
        <w:t xml:space="preserve">Změna </w:t>
      </w:r>
      <w:r w:rsidR="00024096" w:rsidRPr="00766112">
        <w:rPr>
          <w:rFonts w:ascii="Arial" w:hAnsi="Arial" w:cs="Arial"/>
          <w:bCs/>
          <w:sz w:val="24"/>
          <w:szCs w:val="24"/>
        </w:rPr>
        <w:t xml:space="preserve">cíle energetické účinnosti </w:t>
      </w:r>
      <w:r w:rsidRPr="00766112">
        <w:rPr>
          <w:rFonts w:ascii="Arial" w:hAnsi="Arial" w:cs="Arial"/>
          <w:bCs/>
          <w:sz w:val="24"/>
          <w:szCs w:val="24"/>
        </w:rPr>
        <w:t xml:space="preserve">na závazný zásadním </w:t>
      </w:r>
      <w:r w:rsidR="00044F26" w:rsidRPr="00766112">
        <w:rPr>
          <w:rFonts w:ascii="Arial" w:hAnsi="Arial" w:cs="Arial"/>
          <w:bCs/>
          <w:sz w:val="24"/>
          <w:szCs w:val="24"/>
        </w:rPr>
        <w:t xml:space="preserve">způsobem znevažuje </w:t>
      </w:r>
      <w:r w:rsidRPr="00766112">
        <w:rPr>
          <w:rFonts w:ascii="Arial" w:hAnsi="Arial" w:cs="Arial"/>
          <w:bCs/>
          <w:sz w:val="24"/>
          <w:szCs w:val="24"/>
        </w:rPr>
        <w:t xml:space="preserve">smysl rozhodnutí Evropské Rady z října 2014, které za ústřední cíl politiky EU stanovila snižování emisí skleníkových plynů. Stávající cíl pro rok 2020 se pravděpodobně </w:t>
      </w:r>
      <w:r w:rsidRPr="00766112">
        <w:rPr>
          <w:rFonts w:ascii="Arial" w:hAnsi="Arial" w:cs="Arial"/>
          <w:bCs/>
          <w:sz w:val="24"/>
          <w:szCs w:val="24"/>
        </w:rPr>
        <w:lastRenderedPageBreak/>
        <w:t xml:space="preserve">podaří splnit i bez toho, že by byl závazný. Navrhovaná opatření by se proto měla více zaměřit na </w:t>
      </w:r>
      <w:r w:rsidR="00044F26" w:rsidRPr="00766112">
        <w:rPr>
          <w:rFonts w:ascii="Arial" w:hAnsi="Arial" w:cs="Arial"/>
          <w:bCs/>
          <w:sz w:val="24"/>
          <w:szCs w:val="24"/>
        </w:rPr>
        <w:t>to, jak by zvyšování energetické efektivity lépe přispělo ke snížení emisí skleníkových plynů, namísto jejího zvyšování za jakoukoliv cenu.</w:t>
      </w:r>
    </w:p>
    <w:p w:rsidR="0038082D" w:rsidRPr="00766112" w:rsidRDefault="0038082D" w:rsidP="0038082D">
      <w:pPr>
        <w:jc w:val="both"/>
        <w:rPr>
          <w:rFonts w:ascii="Arial" w:hAnsi="Arial" w:cs="Arial"/>
          <w:bCs/>
          <w:sz w:val="24"/>
          <w:szCs w:val="24"/>
        </w:rPr>
      </w:pPr>
    </w:p>
    <w:p w:rsidR="00044F26" w:rsidRDefault="00044F26" w:rsidP="0038082D">
      <w:pPr>
        <w:jc w:val="both"/>
        <w:rPr>
          <w:rFonts w:ascii="Arial" w:hAnsi="Arial" w:cs="Arial"/>
          <w:bCs/>
          <w:sz w:val="24"/>
          <w:szCs w:val="24"/>
        </w:rPr>
      </w:pPr>
      <w:r w:rsidRPr="00766112">
        <w:rPr>
          <w:rFonts w:ascii="Arial" w:hAnsi="Arial" w:cs="Arial"/>
          <w:bCs/>
          <w:sz w:val="24"/>
          <w:szCs w:val="24"/>
        </w:rPr>
        <w:t>ČPS podporuje stanovení cíle pro rok 203</w:t>
      </w:r>
      <w:r w:rsidR="00741F6B" w:rsidRPr="00766112">
        <w:rPr>
          <w:rFonts w:ascii="Arial" w:hAnsi="Arial" w:cs="Arial"/>
          <w:bCs/>
          <w:sz w:val="24"/>
          <w:szCs w:val="24"/>
        </w:rPr>
        <w:t>0</w:t>
      </w:r>
      <w:r w:rsidRPr="00766112">
        <w:rPr>
          <w:rFonts w:ascii="Arial" w:hAnsi="Arial" w:cs="Arial"/>
          <w:bCs/>
          <w:sz w:val="24"/>
          <w:szCs w:val="24"/>
        </w:rPr>
        <w:t xml:space="preserve"> pouze na základě spotřeby primární energie, poněvadž při tomto přístupu jsou podchyceny veškeré druhy energie bez rozdílu.</w:t>
      </w:r>
      <w:r w:rsidR="001B35AB" w:rsidRPr="001B35AB">
        <w:rPr>
          <w:rFonts w:ascii="Arial" w:hAnsi="Arial" w:cs="Arial"/>
          <w:bCs/>
          <w:sz w:val="24"/>
          <w:szCs w:val="24"/>
        </w:rPr>
        <w:t xml:space="preserve"> </w:t>
      </w:r>
      <w:r w:rsidR="007D3952">
        <w:rPr>
          <w:rFonts w:ascii="Arial" w:hAnsi="Arial" w:cs="Arial"/>
          <w:bCs/>
          <w:sz w:val="24"/>
          <w:szCs w:val="24"/>
        </w:rPr>
        <w:t xml:space="preserve">Např. </w:t>
      </w:r>
      <w:proofErr w:type="spellStart"/>
      <w:r w:rsidR="00563AC4" w:rsidRPr="00766112">
        <w:rPr>
          <w:rFonts w:ascii="Arial" w:hAnsi="Arial" w:cs="Arial"/>
          <w:bCs/>
          <w:sz w:val="24"/>
          <w:szCs w:val="24"/>
        </w:rPr>
        <w:t>KVET</w:t>
      </w:r>
      <w:proofErr w:type="spellEnd"/>
      <w:r w:rsidR="00563AC4" w:rsidRPr="00766112">
        <w:rPr>
          <w:rFonts w:ascii="Arial" w:hAnsi="Arial" w:cs="Arial"/>
          <w:bCs/>
          <w:sz w:val="24"/>
          <w:szCs w:val="24"/>
        </w:rPr>
        <w:t xml:space="preserve"> může významně snížit spotřebu primárních zdrojů energie, v konečné spotřebě se tato úspora nijak neprojeví. Cíl v konečné spotřebě energie rovněž nepřímo podporuje užití elektřiny pro krytí zvýšené poptávky po energii v případě chladnějších zimních období. Tato </w:t>
      </w:r>
      <w:r w:rsidR="0038082D">
        <w:rPr>
          <w:rFonts w:ascii="Arial" w:hAnsi="Arial" w:cs="Arial"/>
          <w:bCs/>
          <w:sz w:val="24"/>
          <w:szCs w:val="24"/>
        </w:rPr>
        <w:t xml:space="preserve">„dodatečně“ potřebná </w:t>
      </w:r>
      <w:r w:rsidR="00563AC4" w:rsidRPr="00766112">
        <w:rPr>
          <w:rFonts w:ascii="Arial" w:hAnsi="Arial" w:cs="Arial"/>
          <w:bCs/>
          <w:sz w:val="24"/>
          <w:szCs w:val="24"/>
        </w:rPr>
        <w:t xml:space="preserve">elektřina bude spíš než z plynu nebo </w:t>
      </w:r>
      <w:proofErr w:type="spellStart"/>
      <w:r w:rsidR="00563AC4" w:rsidRPr="00766112">
        <w:rPr>
          <w:rFonts w:ascii="Arial" w:hAnsi="Arial" w:cs="Arial"/>
          <w:bCs/>
          <w:sz w:val="24"/>
          <w:szCs w:val="24"/>
        </w:rPr>
        <w:t>OZE</w:t>
      </w:r>
      <w:proofErr w:type="spellEnd"/>
      <w:r w:rsidR="00563AC4" w:rsidRPr="00766112">
        <w:rPr>
          <w:rFonts w:ascii="Arial" w:hAnsi="Arial" w:cs="Arial"/>
          <w:bCs/>
          <w:sz w:val="24"/>
          <w:szCs w:val="24"/>
        </w:rPr>
        <w:t xml:space="preserve"> vyrobena z uhlí.</w:t>
      </w:r>
    </w:p>
    <w:p w:rsidR="0038082D" w:rsidRPr="00766112" w:rsidRDefault="0038082D" w:rsidP="0038082D">
      <w:pPr>
        <w:jc w:val="both"/>
        <w:rPr>
          <w:rFonts w:ascii="Arial" w:hAnsi="Arial" w:cs="Arial"/>
          <w:bCs/>
          <w:sz w:val="24"/>
          <w:szCs w:val="24"/>
        </w:rPr>
      </w:pPr>
    </w:p>
    <w:p w:rsidR="00092A12" w:rsidRDefault="00563AC4" w:rsidP="0038082D">
      <w:pPr>
        <w:jc w:val="both"/>
        <w:rPr>
          <w:rFonts w:ascii="Arial" w:hAnsi="Arial" w:cs="Arial"/>
          <w:bCs/>
          <w:sz w:val="24"/>
          <w:szCs w:val="24"/>
        </w:rPr>
      </w:pPr>
      <w:r w:rsidRPr="00766112">
        <w:rPr>
          <w:rFonts w:ascii="Arial" w:hAnsi="Arial" w:cs="Arial"/>
          <w:bCs/>
          <w:sz w:val="24"/>
          <w:szCs w:val="24"/>
        </w:rPr>
        <w:t xml:space="preserve">ČPS </w:t>
      </w:r>
      <w:r w:rsidR="000207C1" w:rsidRPr="00766112">
        <w:rPr>
          <w:rFonts w:ascii="Arial" w:hAnsi="Arial" w:cs="Arial"/>
          <w:bCs/>
          <w:sz w:val="24"/>
          <w:szCs w:val="24"/>
        </w:rPr>
        <w:t>vítá, že byla zachována možnost v</w:t>
      </w:r>
      <w:r w:rsidR="0038082D">
        <w:rPr>
          <w:rFonts w:ascii="Arial" w:hAnsi="Arial" w:cs="Arial"/>
          <w:bCs/>
          <w:sz w:val="24"/>
          <w:szCs w:val="24"/>
        </w:rPr>
        <w:t>ýběru mezi povinným schématem a </w:t>
      </w:r>
      <w:r w:rsidR="000207C1" w:rsidRPr="00766112">
        <w:rPr>
          <w:rFonts w:ascii="Arial" w:hAnsi="Arial" w:cs="Arial"/>
          <w:bCs/>
          <w:sz w:val="24"/>
          <w:szCs w:val="24"/>
        </w:rPr>
        <w:t xml:space="preserve">alternativními opatřeními nebo jejich kombinací, stejně tak jako možnost volby výše úspor v jednotlivých letech. V článku 7 odst. 2 písm. d) a e) </w:t>
      </w:r>
      <w:r w:rsidR="00092A12" w:rsidRPr="00766112">
        <w:rPr>
          <w:rFonts w:ascii="Arial" w:hAnsi="Arial" w:cs="Arial"/>
          <w:bCs/>
          <w:sz w:val="24"/>
          <w:szCs w:val="24"/>
        </w:rPr>
        <w:t>je umožněno zahrnout do objemu úspor i úspory dosažené opatřeními zavedenými po roce 2008 a jejichž dopad bude pokračovat i po roce 2020, resp. vyjmout z výpočtu požadavku na úspory energie vyrobené z </w:t>
      </w:r>
      <w:proofErr w:type="spellStart"/>
      <w:r w:rsidR="00092A12" w:rsidRPr="00766112">
        <w:rPr>
          <w:rFonts w:ascii="Arial" w:hAnsi="Arial" w:cs="Arial"/>
          <w:bCs/>
          <w:sz w:val="24"/>
          <w:szCs w:val="24"/>
        </w:rPr>
        <w:t>OZE</w:t>
      </w:r>
      <w:proofErr w:type="spellEnd"/>
      <w:r w:rsidR="00092A12" w:rsidRPr="00766112">
        <w:rPr>
          <w:rFonts w:ascii="Arial" w:hAnsi="Arial" w:cs="Arial"/>
          <w:bCs/>
          <w:sz w:val="24"/>
          <w:szCs w:val="24"/>
        </w:rPr>
        <w:t xml:space="preserve"> vně či uvnitř budov pro vlastní potřebu a na základě alternativních opatření. Rozsah těchto</w:t>
      </w:r>
      <w:r w:rsidR="000F1F4E" w:rsidRPr="00766112">
        <w:rPr>
          <w:rFonts w:ascii="Arial" w:hAnsi="Arial" w:cs="Arial"/>
          <w:bCs/>
          <w:sz w:val="24"/>
          <w:szCs w:val="24"/>
        </w:rPr>
        <w:t xml:space="preserve"> zápočtů resp. </w:t>
      </w:r>
      <w:proofErr w:type="spellStart"/>
      <w:r w:rsidR="000F1F4E" w:rsidRPr="00766112">
        <w:rPr>
          <w:rFonts w:ascii="Arial" w:hAnsi="Arial" w:cs="Arial"/>
          <w:bCs/>
          <w:sz w:val="24"/>
          <w:szCs w:val="24"/>
        </w:rPr>
        <w:t>odečtů</w:t>
      </w:r>
      <w:proofErr w:type="spellEnd"/>
      <w:r w:rsidR="000F1F4E" w:rsidRPr="00766112">
        <w:rPr>
          <w:rFonts w:ascii="Arial" w:hAnsi="Arial" w:cs="Arial"/>
          <w:bCs/>
          <w:sz w:val="24"/>
          <w:szCs w:val="24"/>
        </w:rPr>
        <w:t xml:space="preserve"> je však zcela bezdůvodně omezen hranicí 25 %</w:t>
      </w:r>
      <w:r w:rsidR="00092A12" w:rsidRPr="00766112">
        <w:rPr>
          <w:rFonts w:ascii="Arial" w:hAnsi="Arial" w:cs="Arial"/>
          <w:bCs/>
          <w:sz w:val="24"/>
          <w:szCs w:val="24"/>
        </w:rPr>
        <w:t xml:space="preserve"> </w:t>
      </w:r>
      <w:r w:rsidR="000F1F4E" w:rsidRPr="00766112">
        <w:rPr>
          <w:rFonts w:ascii="Arial" w:hAnsi="Arial" w:cs="Arial"/>
          <w:bCs/>
          <w:sz w:val="24"/>
          <w:szCs w:val="24"/>
        </w:rPr>
        <w:t>(odstavec 3), stejně jako je tomu pro všechna zbývající písmena v odst. 2. Písmeno d) a e) by mělo být od této omezující hranice oproštěno, mimo jiné proto, že je</w:t>
      </w:r>
      <w:r w:rsidR="007D3952">
        <w:rPr>
          <w:rFonts w:ascii="Arial" w:hAnsi="Arial" w:cs="Arial"/>
          <w:bCs/>
          <w:sz w:val="24"/>
          <w:szCs w:val="24"/>
        </w:rPr>
        <w:t>n</w:t>
      </w:r>
      <w:r w:rsidR="000F1F4E" w:rsidRPr="00766112">
        <w:rPr>
          <w:rFonts w:ascii="Arial" w:hAnsi="Arial" w:cs="Arial"/>
          <w:bCs/>
          <w:sz w:val="24"/>
          <w:szCs w:val="24"/>
        </w:rPr>
        <w:t xml:space="preserve"> zmenšuje smysluplnost zavádění dlouhodobých opatření.</w:t>
      </w:r>
    </w:p>
    <w:p w:rsidR="0038082D" w:rsidRPr="00766112" w:rsidRDefault="0038082D" w:rsidP="0038082D">
      <w:pPr>
        <w:jc w:val="both"/>
        <w:rPr>
          <w:rFonts w:ascii="Arial" w:hAnsi="Arial" w:cs="Arial"/>
          <w:bCs/>
          <w:sz w:val="24"/>
          <w:szCs w:val="24"/>
        </w:rPr>
      </w:pPr>
    </w:p>
    <w:p w:rsidR="000F1F4E" w:rsidRDefault="000F1F4E" w:rsidP="0038082D">
      <w:pPr>
        <w:jc w:val="both"/>
        <w:rPr>
          <w:rFonts w:ascii="Arial" w:hAnsi="Arial" w:cs="Arial"/>
          <w:bCs/>
          <w:sz w:val="24"/>
          <w:szCs w:val="24"/>
        </w:rPr>
      </w:pPr>
      <w:r w:rsidRPr="00766112">
        <w:rPr>
          <w:rFonts w:ascii="Arial" w:hAnsi="Arial" w:cs="Arial"/>
          <w:bCs/>
          <w:sz w:val="24"/>
          <w:szCs w:val="24"/>
        </w:rPr>
        <w:t xml:space="preserve">Nepovažujeme za vhodné, aby se návrh článku 7 směrnice v tuto chvíli </w:t>
      </w:r>
      <w:proofErr w:type="gramStart"/>
      <w:r w:rsidRPr="00766112">
        <w:rPr>
          <w:rFonts w:ascii="Arial" w:hAnsi="Arial" w:cs="Arial"/>
          <w:bCs/>
          <w:sz w:val="24"/>
          <w:szCs w:val="24"/>
        </w:rPr>
        <w:t>zabýval</w:t>
      </w:r>
      <w:proofErr w:type="gramEnd"/>
      <w:r w:rsidRPr="00766112">
        <w:rPr>
          <w:rFonts w:ascii="Arial" w:hAnsi="Arial" w:cs="Arial"/>
          <w:bCs/>
          <w:sz w:val="24"/>
          <w:szCs w:val="24"/>
        </w:rPr>
        <w:t xml:space="preserve"> obdobím po roce 2030. EU</w:t>
      </w:r>
      <w:r w:rsidR="00A239CE">
        <w:rPr>
          <w:rFonts w:ascii="Arial" w:hAnsi="Arial" w:cs="Arial"/>
          <w:bCs/>
          <w:sz w:val="24"/>
          <w:szCs w:val="24"/>
        </w:rPr>
        <w:t xml:space="preserve"> si</w:t>
      </w:r>
      <w:r w:rsidRPr="00766112">
        <w:rPr>
          <w:rFonts w:ascii="Arial" w:hAnsi="Arial" w:cs="Arial"/>
          <w:bCs/>
          <w:sz w:val="24"/>
          <w:szCs w:val="24"/>
        </w:rPr>
        <w:t xml:space="preserve"> </w:t>
      </w:r>
      <w:proofErr w:type="gramStart"/>
      <w:r w:rsidRPr="00766112">
        <w:rPr>
          <w:rFonts w:ascii="Arial" w:hAnsi="Arial" w:cs="Arial"/>
          <w:bCs/>
          <w:sz w:val="24"/>
          <w:szCs w:val="24"/>
        </w:rPr>
        <w:t>vyt</w:t>
      </w:r>
      <w:r w:rsidR="00B03110">
        <w:rPr>
          <w:rFonts w:ascii="Arial" w:hAnsi="Arial" w:cs="Arial"/>
          <w:bCs/>
          <w:sz w:val="24"/>
          <w:szCs w:val="24"/>
        </w:rPr>
        <w:t>ý</w:t>
      </w:r>
      <w:r w:rsidRPr="00766112">
        <w:rPr>
          <w:rFonts w:ascii="Arial" w:hAnsi="Arial" w:cs="Arial"/>
          <w:bCs/>
          <w:sz w:val="24"/>
          <w:szCs w:val="24"/>
        </w:rPr>
        <w:t>čila</w:t>
      </w:r>
      <w:proofErr w:type="gramEnd"/>
      <w:r w:rsidRPr="00766112">
        <w:rPr>
          <w:rFonts w:ascii="Arial" w:hAnsi="Arial" w:cs="Arial"/>
          <w:bCs/>
          <w:sz w:val="24"/>
          <w:szCs w:val="24"/>
        </w:rPr>
        <w:t xml:space="preserve"> cíle pro rok 2030 a jakákoliv další opatření po tomto termínu by měla být prováděna na základě zhodnocení stavu, který teprve nastane. </w:t>
      </w:r>
      <w:r w:rsidR="00313E28" w:rsidRPr="00766112">
        <w:rPr>
          <w:rFonts w:ascii="Arial" w:hAnsi="Arial" w:cs="Arial"/>
          <w:bCs/>
          <w:sz w:val="24"/>
          <w:szCs w:val="24"/>
        </w:rPr>
        <w:t>Proces přípravy dlouhodobé strategie je dostatečně popsán v n</w:t>
      </w:r>
      <w:r w:rsidRPr="00766112">
        <w:rPr>
          <w:rFonts w:ascii="Arial" w:hAnsi="Arial" w:cs="Arial"/>
          <w:bCs/>
          <w:sz w:val="24"/>
          <w:szCs w:val="24"/>
        </w:rPr>
        <w:t>ávrh</w:t>
      </w:r>
      <w:r w:rsidR="00313E28" w:rsidRPr="00766112">
        <w:rPr>
          <w:rFonts w:ascii="Arial" w:hAnsi="Arial" w:cs="Arial"/>
          <w:bCs/>
          <w:sz w:val="24"/>
          <w:szCs w:val="24"/>
        </w:rPr>
        <w:t>u</w:t>
      </w:r>
      <w:r w:rsidRPr="00766112">
        <w:rPr>
          <w:rFonts w:ascii="Arial" w:hAnsi="Arial" w:cs="Arial"/>
          <w:bCs/>
          <w:sz w:val="24"/>
          <w:szCs w:val="24"/>
        </w:rPr>
        <w:t xml:space="preserve"> </w:t>
      </w:r>
      <w:r w:rsidR="00A239CE">
        <w:rPr>
          <w:rFonts w:ascii="Arial" w:hAnsi="Arial" w:cs="Arial"/>
          <w:bCs/>
          <w:sz w:val="24"/>
          <w:szCs w:val="24"/>
        </w:rPr>
        <w:t>nařízení k systému řízení</w:t>
      </w:r>
      <w:r w:rsidRPr="00766112">
        <w:rPr>
          <w:rFonts w:ascii="Arial" w:hAnsi="Arial" w:cs="Arial"/>
          <w:bCs/>
          <w:sz w:val="24"/>
          <w:szCs w:val="24"/>
        </w:rPr>
        <w:t xml:space="preserve"> </w:t>
      </w:r>
      <w:r w:rsidR="00313E28" w:rsidRPr="00766112">
        <w:rPr>
          <w:rFonts w:ascii="Arial" w:hAnsi="Arial" w:cs="Arial"/>
          <w:bCs/>
          <w:sz w:val="24"/>
          <w:szCs w:val="24"/>
        </w:rPr>
        <w:t>E</w:t>
      </w:r>
      <w:r w:rsidRPr="00766112">
        <w:rPr>
          <w:rFonts w:ascii="Arial" w:hAnsi="Arial" w:cs="Arial"/>
          <w:bCs/>
          <w:sz w:val="24"/>
          <w:szCs w:val="24"/>
        </w:rPr>
        <w:t>nergetické unie</w:t>
      </w:r>
      <w:r w:rsidR="00313E28" w:rsidRPr="00766112">
        <w:rPr>
          <w:rFonts w:ascii="Arial" w:hAnsi="Arial" w:cs="Arial"/>
          <w:bCs/>
          <w:sz w:val="24"/>
          <w:szCs w:val="24"/>
        </w:rPr>
        <w:t>.</w:t>
      </w:r>
    </w:p>
    <w:p w:rsidR="001B35AB" w:rsidRPr="00766112" w:rsidRDefault="001B35AB" w:rsidP="0038082D">
      <w:pPr>
        <w:jc w:val="both"/>
        <w:rPr>
          <w:rFonts w:ascii="Arial" w:hAnsi="Arial" w:cs="Arial"/>
          <w:bCs/>
          <w:sz w:val="24"/>
          <w:szCs w:val="24"/>
        </w:rPr>
      </w:pPr>
    </w:p>
    <w:p w:rsidR="00584CCC" w:rsidRDefault="00584CCC" w:rsidP="0038082D">
      <w:pPr>
        <w:jc w:val="both"/>
        <w:rPr>
          <w:rFonts w:ascii="Arial" w:hAnsi="Arial" w:cs="Arial"/>
          <w:bCs/>
          <w:sz w:val="24"/>
          <w:szCs w:val="24"/>
        </w:rPr>
      </w:pPr>
    </w:p>
    <w:p w:rsidR="00E94049" w:rsidRPr="00766112" w:rsidRDefault="00E94049" w:rsidP="0038082D">
      <w:pPr>
        <w:jc w:val="both"/>
        <w:rPr>
          <w:rFonts w:ascii="Arial" w:hAnsi="Arial" w:cs="Arial"/>
          <w:bCs/>
          <w:sz w:val="24"/>
          <w:szCs w:val="24"/>
        </w:rPr>
      </w:pPr>
    </w:p>
    <w:p w:rsidR="00044F26" w:rsidRPr="00766112" w:rsidRDefault="00E2298A" w:rsidP="00E94049">
      <w:pPr>
        <w:pStyle w:val="Odstavecseseznamem"/>
        <w:numPr>
          <w:ilvl w:val="0"/>
          <w:numId w:val="5"/>
        </w:numPr>
        <w:tabs>
          <w:tab w:val="left" w:pos="426"/>
        </w:tabs>
        <w:ind w:left="426" w:hanging="426"/>
        <w:jc w:val="both"/>
        <w:rPr>
          <w:rFonts w:ascii="Arial" w:hAnsi="Arial" w:cs="Arial"/>
          <w:b/>
          <w:bCs/>
          <w:sz w:val="24"/>
        </w:rPr>
      </w:pPr>
      <w:r w:rsidRPr="00766112">
        <w:rPr>
          <w:rFonts w:ascii="Arial" w:hAnsi="Arial" w:cs="Arial"/>
          <w:b/>
          <w:bCs/>
          <w:sz w:val="24"/>
        </w:rPr>
        <w:t>Revize směrnice o energetické náročnosti budov</w:t>
      </w:r>
    </w:p>
    <w:p w:rsidR="0038082D" w:rsidRDefault="0038082D" w:rsidP="0038082D">
      <w:pPr>
        <w:jc w:val="both"/>
        <w:rPr>
          <w:rFonts w:ascii="Arial" w:hAnsi="Arial" w:cs="Arial"/>
          <w:bCs/>
          <w:sz w:val="24"/>
          <w:szCs w:val="24"/>
        </w:rPr>
      </w:pPr>
    </w:p>
    <w:p w:rsidR="00E2298A" w:rsidRDefault="00E2298A" w:rsidP="0038082D">
      <w:pPr>
        <w:jc w:val="both"/>
        <w:rPr>
          <w:rFonts w:ascii="Arial" w:hAnsi="Arial" w:cs="Arial"/>
          <w:bCs/>
          <w:sz w:val="24"/>
          <w:szCs w:val="24"/>
        </w:rPr>
      </w:pPr>
      <w:r w:rsidRPr="00766112">
        <w:rPr>
          <w:rFonts w:ascii="Arial" w:hAnsi="Arial" w:cs="Arial"/>
          <w:bCs/>
          <w:sz w:val="24"/>
          <w:szCs w:val="24"/>
        </w:rPr>
        <w:t xml:space="preserve">Cestovní </w:t>
      </w:r>
      <w:r w:rsidR="0084274D">
        <w:rPr>
          <w:rFonts w:ascii="Arial" w:hAnsi="Arial" w:cs="Arial"/>
          <w:bCs/>
          <w:sz w:val="24"/>
          <w:szCs w:val="24"/>
        </w:rPr>
        <w:t>mapa</w:t>
      </w:r>
      <w:r w:rsidRPr="00766112">
        <w:rPr>
          <w:rFonts w:ascii="Arial" w:hAnsi="Arial" w:cs="Arial"/>
          <w:bCs/>
          <w:sz w:val="24"/>
          <w:szCs w:val="24"/>
        </w:rPr>
        <w:t xml:space="preserve"> členských států obsahuje v návrhu požadavek na dosažení kompletní dekarbonizace rezidentního sektoru do roku 2050. V této souvislosti, je třeba upozornit, že rezidentní sektor není jediným sektorem, který by měl přispět k</w:t>
      </w:r>
      <w:r w:rsidR="006219E8" w:rsidRPr="00766112">
        <w:rPr>
          <w:rFonts w:ascii="Arial" w:hAnsi="Arial" w:cs="Arial"/>
          <w:bCs/>
          <w:sz w:val="24"/>
          <w:szCs w:val="24"/>
        </w:rPr>
        <w:t xml:space="preserve">e splnění evropského </w:t>
      </w:r>
      <w:r w:rsidRPr="00766112">
        <w:rPr>
          <w:rFonts w:ascii="Arial" w:hAnsi="Arial" w:cs="Arial"/>
          <w:bCs/>
          <w:sz w:val="24"/>
          <w:szCs w:val="24"/>
        </w:rPr>
        <w:t>závazku dekarbonizace energetiky</w:t>
      </w:r>
      <w:r w:rsidR="0038082D">
        <w:rPr>
          <w:rFonts w:ascii="Arial" w:hAnsi="Arial" w:cs="Arial"/>
          <w:bCs/>
          <w:sz w:val="24"/>
          <w:szCs w:val="24"/>
        </w:rPr>
        <w:t>,</w:t>
      </w:r>
      <w:r w:rsidRPr="00766112">
        <w:rPr>
          <w:rFonts w:ascii="Arial" w:hAnsi="Arial" w:cs="Arial"/>
          <w:bCs/>
          <w:sz w:val="24"/>
          <w:szCs w:val="24"/>
        </w:rPr>
        <w:t xml:space="preserve"> jak </w:t>
      </w:r>
      <w:r w:rsidR="006219E8" w:rsidRPr="00766112">
        <w:rPr>
          <w:rFonts w:ascii="Arial" w:hAnsi="Arial" w:cs="Arial"/>
          <w:bCs/>
          <w:sz w:val="24"/>
          <w:szCs w:val="24"/>
        </w:rPr>
        <w:t xml:space="preserve">je obsažen v Pařížské úmluvě. Ambiciózní cíl úplné dekarbonizace rezidentního sektoru do roku 2050 </w:t>
      </w:r>
      <w:r w:rsidR="0084274D">
        <w:rPr>
          <w:rFonts w:ascii="Arial" w:hAnsi="Arial" w:cs="Arial"/>
          <w:bCs/>
          <w:sz w:val="24"/>
          <w:szCs w:val="24"/>
        </w:rPr>
        <w:t>o</w:t>
      </w:r>
      <w:r w:rsidR="007D3952">
        <w:rPr>
          <w:rFonts w:ascii="Arial" w:hAnsi="Arial" w:cs="Arial"/>
          <w:bCs/>
          <w:sz w:val="24"/>
          <w:szCs w:val="24"/>
        </w:rPr>
        <w:t>slabí</w:t>
      </w:r>
      <w:r w:rsidR="0084274D">
        <w:rPr>
          <w:rFonts w:ascii="Arial" w:hAnsi="Arial" w:cs="Arial"/>
          <w:bCs/>
          <w:sz w:val="24"/>
          <w:szCs w:val="24"/>
        </w:rPr>
        <w:t xml:space="preserve"> motivaci </w:t>
      </w:r>
      <w:r w:rsidR="006219E8" w:rsidRPr="00766112">
        <w:rPr>
          <w:rFonts w:ascii="Arial" w:hAnsi="Arial" w:cs="Arial"/>
          <w:bCs/>
          <w:sz w:val="24"/>
          <w:szCs w:val="24"/>
        </w:rPr>
        <w:t>k omezování emisí skleníkových plynů v ostatních sektorech jako např. v zemědělství a dopravě.</w:t>
      </w:r>
      <w:r w:rsidR="0084274D">
        <w:rPr>
          <w:rFonts w:ascii="Arial" w:hAnsi="Arial" w:cs="Arial"/>
          <w:bCs/>
          <w:sz w:val="24"/>
          <w:szCs w:val="24"/>
        </w:rPr>
        <w:t xml:space="preserve"> Návrh není v souladu s podporou decentralizované výroby elektřiny a tepla v kogeneračních jednotkách.</w:t>
      </w:r>
    </w:p>
    <w:p w:rsidR="0038082D" w:rsidRPr="00766112" w:rsidRDefault="0038082D" w:rsidP="0038082D">
      <w:pPr>
        <w:jc w:val="both"/>
        <w:rPr>
          <w:rFonts w:ascii="Arial" w:hAnsi="Arial" w:cs="Arial"/>
          <w:bCs/>
          <w:sz w:val="24"/>
          <w:szCs w:val="24"/>
        </w:rPr>
      </w:pPr>
    </w:p>
    <w:p w:rsidR="00044F26" w:rsidRDefault="006219E8" w:rsidP="0038082D">
      <w:pPr>
        <w:jc w:val="both"/>
        <w:rPr>
          <w:rFonts w:ascii="Arial" w:hAnsi="Arial" w:cs="Arial"/>
          <w:bCs/>
          <w:sz w:val="24"/>
          <w:szCs w:val="24"/>
        </w:rPr>
      </w:pPr>
      <w:r w:rsidRPr="00766112">
        <w:rPr>
          <w:rFonts w:ascii="Arial" w:hAnsi="Arial" w:cs="Arial"/>
          <w:bCs/>
          <w:sz w:val="24"/>
          <w:szCs w:val="24"/>
        </w:rPr>
        <w:t xml:space="preserve">Návrh obsahuje požadavek na připravenost nových a celkově rekonstruovaných budov s více než deseti parkovacími místy k instalaci </w:t>
      </w:r>
      <w:r w:rsidR="00EA68FF">
        <w:rPr>
          <w:rFonts w:ascii="Arial" w:hAnsi="Arial" w:cs="Arial"/>
          <w:bCs/>
          <w:sz w:val="24"/>
          <w:szCs w:val="24"/>
        </w:rPr>
        <w:t>dobíjecích</w:t>
      </w:r>
      <w:r w:rsidR="00EA68FF" w:rsidRPr="00766112">
        <w:rPr>
          <w:rFonts w:ascii="Arial" w:hAnsi="Arial" w:cs="Arial"/>
          <w:bCs/>
          <w:sz w:val="24"/>
          <w:szCs w:val="24"/>
        </w:rPr>
        <w:t xml:space="preserve"> </w:t>
      </w:r>
      <w:r w:rsidR="00EA68FF">
        <w:rPr>
          <w:rFonts w:ascii="Arial" w:hAnsi="Arial" w:cs="Arial"/>
          <w:bCs/>
          <w:sz w:val="24"/>
          <w:szCs w:val="24"/>
        </w:rPr>
        <w:t>stanic</w:t>
      </w:r>
      <w:r w:rsidR="00EA68FF" w:rsidRPr="00766112">
        <w:rPr>
          <w:rFonts w:ascii="Arial" w:hAnsi="Arial" w:cs="Arial"/>
          <w:bCs/>
          <w:sz w:val="24"/>
          <w:szCs w:val="24"/>
        </w:rPr>
        <w:t xml:space="preserve"> </w:t>
      </w:r>
      <w:r w:rsidRPr="00766112">
        <w:rPr>
          <w:rFonts w:ascii="Arial" w:hAnsi="Arial" w:cs="Arial"/>
          <w:bCs/>
          <w:sz w:val="24"/>
          <w:szCs w:val="24"/>
        </w:rPr>
        <w:t xml:space="preserve">pro elektromobily u každého parkovacího stání. </w:t>
      </w:r>
      <w:r w:rsidR="00F704C9" w:rsidRPr="00766112">
        <w:rPr>
          <w:rFonts w:ascii="Arial" w:hAnsi="Arial" w:cs="Arial"/>
          <w:bCs/>
          <w:sz w:val="24"/>
          <w:szCs w:val="24"/>
        </w:rPr>
        <w:t>Vzhledem k potenciálu CNG vozidel na snížení emisí skleníkových plynů navrhuje ČPS možnost zvážení vybavení parkovacích stání individuálními plničkami CNG, jako alternativu k dobíjecím stanicím. V podmínkách ČR je v této souvislosti nezbytné zmínit přetrvávající překážky pro parkování vozidel CNG v hromadných podzemních garážích.</w:t>
      </w:r>
    </w:p>
    <w:p w:rsidR="00584CCC" w:rsidRPr="00766112" w:rsidRDefault="00584CCC" w:rsidP="0038082D">
      <w:pPr>
        <w:jc w:val="both"/>
        <w:rPr>
          <w:rFonts w:ascii="Arial" w:hAnsi="Arial" w:cs="Arial"/>
          <w:bCs/>
          <w:sz w:val="24"/>
          <w:szCs w:val="24"/>
        </w:rPr>
      </w:pPr>
    </w:p>
    <w:p w:rsidR="00EA2B89" w:rsidRDefault="00F704C9" w:rsidP="0038082D">
      <w:pPr>
        <w:jc w:val="both"/>
        <w:rPr>
          <w:rFonts w:ascii="Arial" w:hAnsi="Arial" w:cs="Arial"/>
          <w:bCs/>
          <w:sz w:val="24"/>
          <w:szCs w:val="24"/>
        </w:rPr>
      </w:pPr>
      <w:r w:rsidRPr="00766112">
        <w:rPr>
          <w:rFonts w:ascii="Arial" w:hAnsi="Arial" w:cs="Arial"/>
          <w:bCs/>
          <w:sz w:val="24"/>
          <w:szCs w:val="24"/>
        </w:rPr>
        <w:lastRenderedPageBreak/>
        <w:t>Zvláštní pozornost by měla být věnována nastavení výše podílu renovované plochy (převzatý čl</w:t>
      </w:r>
      <w:r w:rsidR="00584CCC">
        <w:rPr>
          <w:rFonts w:ascii="Arial" w:hAnsi="Arial" w:cs="Arial"/>
          <w:bCs/>
          <w:sz w:val="24"/>
          <w:szCs w:val="24"/>
        </w:rPr>
        <w:t xml:space="preserve">. </w:t>
      </w:r>
      <w:r w:rsidRPr="00766112">
        <w:rPr>
          <w:rFonts w:ascii="Arial" w:hAnsi="Arial" w:cs="Arial"/>
          <w:bCs/>
          <w:sz w:val="24"/>
          <w:szCs w:val="24"/>
        </w:rPr>
        <w:t xml:space="preserve">4 </w:t>
      </w:r>
      <w:proofErr w:type="spellStart"/>
      <w:r w:rsidRPr="00766112">
        <w:rPr>
          <w:rFonts w:ascii="Arial" w:hAnsi="Arial" w:cs="Arial"/>
          <w:bCs/>
          <w:sz w:val="24"/>
          <w:szCs w:val="24"/>
        </w:rPr>
        <w:t>EED</w:t>
      </w:r>
      <w:proofErr w:type="spellEnd"/>
      <w:r w:rsidRPr="00766112">
        <w:rPr>
          <w:rFonts w:ascii="Arial" w:hAnsi="Arial" w:cs="Arial"/>
          <w:bCs/>
          <w:sz w:val="24"/>
          <w:szCs w:val="24"/>
        </w:rPr>
        <w:t>), ve vazbě na reálné plnění v j</w:t>
      </w:r>
      <w:r w:rsidR="00584CCC">
        <w:rPr>
          <w:rFonts w:ascii="Arial" w:hAnsi="Arial" w:cs="Arial"/>
          <w:bCs/>
          <w:sz w:val="24"/>
          <w:szCs w:val="24"/>
        </w:rPr>
        <w:t>ednotlivých členských státech a </w:t>
      </w:r>
      <w:r w:rsidRPr="00766112">
        <w:rPr>
          <w:rFonts w:ascii="Arial" w:hAnsi="Arial" w:cs="Arial"/>
          <w:bCs/>
          <w:sz w:val="24"/>
          <w:szCs w:val="24"/>
        </w:rPr>
        <w:t>identifikované problémy.</w:t>
      </w:r>
    </w:p>
    <w:p w:rsidR="00584CCC" w:rsidRDefault="00584CCC" w:rsidP="0038082D">
      <w:pPr>
        <w:jc w:val="both"/>
        <w:rPr>
          <w:rFonts w:ascii="Arial" w:hAnsi="Arial" w:cs="Arial"/>
          <w:bCs/>
          <w:sz w:val="24"/>
          <w:szCs w:val="24"/>
        </w:rPr>
      </w:pPr>
    </w:p>
    <w:p w:rsidR="00584CCC" w:rsidRDefault="00584CCC" w:rsidP="0038082D">
      <w:pPr>
        <w:jc w:val="both"/>
        <w:rPr>
          <w:rFonts w:ascii="Arial" w:hAnsi="Arial" w:cs="Arial"/>
          <w:bCs/>
          <w:sz w:val="24"/>
          <w:szCs w:val="24"/>
        </w:rPr>
      </w:pPr>
    </w:p>
    <w:p w:rsidR="00584CCC" w:rsidRPr="00766112" w:rsidRDefault="00584CCC" w:rsidP="0038082D">
      <w:pPr>
        <w:jc w:val="both"/>
        <w:rPr>
          <w:rFonts w:ascii="Arial" w:hAnsi="Arial" w:cs="Arial"/>
          <w:bCs/>
          <w:sz w:val="24"/>
          <w:szCs w:val="24"/>
        </w:rPr>
      </w:pPr>
    </w:p>
    <w:p w:rsidR="00EA2B89" w:rsidRPr="00766112" w:rsidRDefault="00697D79" w:rsidP="00E94049">
      <w:pPr>
        <w:pStyle w:val="Odstavecseseznamem"/>
        <w:numPr>
          <w:ilvl w:val="0"/>
          <w:numId w:val="5"/>
        </w:numPr>
        <w:tabs>
          <w:tab w:val="left" w:pos="426"/>
        </w:tabs>
        <w:ind w:left="426" w:hanging="426"/>
        <w:jc w:val="both"/>
        <w:rPr>
          <w:rFonts w:ascii="Arial" w:hAnsi="Arial" w:cs="Arial"/>
          <w:b/>
          <w:bCs/>
          <w:sz w:val="24"/>
        </w:rPr>
      </w:pPr>
      <w:r w:rsidRPr="00766112">
        <w:rPr>
          <w:rFonts w:ascii="Arial" w:hAnsi="Arial" w:cs="Arial"/>
          <w:b/>
          <w:bCs/>
          <w:sz w:val="24"/>
        </w:rPr>
        <w:t>Revize směrnice o podpoře OZE</w:t>
      </w:r>
    </w:p>
    <w:p w:rsidR="009C5548" w:rsidRDefault="009C5548" w:rsidP="0038082D">
      <w:pPr>
        <w:jc w:val="both"/>
        <w:rPr>
          <w:rFonts w:ascii="Arial" w:hAnsi="Arial" w:cs="Arial"/>
          <w:bCs/>
          <w:sz w:val="24"/>
          <w:szCs w:val="24"/>
        </w:rPr>
      </w:pPr>
    </w:p>
    <w:p w:rsidR="00697D79" w:rsidRPr="00766112" w:rsidRDefault="00697D79" w:rsidP="0038082D">
      <w:pPr>
        <w:jc w:val="both"/>
        <w:rPr>
          <w:rFonts w:ascii="Arial" w:hAnsi="Arial" w:cs="Arial"/>
          <w:bCs/>
          <w:sz w:val="24"/>
          <w:szCs w:val="24"/>
        </w:rPr>
      </w:pPr>
      <w:r w:rsidRPr="00766112">
        <w:rPr>
          <w:rFonts w:ascii="Arial" w:hAnsi="Arial" w:cs="Arial"/>
          <w:bCs/>
          <w:sz w:val="24"/>
          <w:szCs w:val="24"/>
        </w:rPr>
        <w:t xml:space="preserve">Požadavek na začleňování obnovitelné energie v topných a chladicích systémech, spočívající v každoročním zvyšování podílu </w:t>
      </w:r>
      <w:proofErr w:type="spellStart"/>
      <w:r w:rsidRPr="00766112">
        <w:rPr>
          <w:rFonts w:ascii="Arial" w:hAnsi="Arial" w:cs="Arial"/>
          <w:bCs/>
          <w:sz w:val="24"/>
          <w:szCs w:val="24"/>
        </w:rPr>
        <w:t>OZE</w:t>
      </w:r>
      <w:proofErr w:type="spellEnd"/>
      <w:r w:rsidRPr="00766112">
        <w:rPr>
          <w:rFonts w:ascii="Arial" w:hAnsi="Arial" w:cs="Arial"/>
          <w:bCs/>
          <w:sz w:val="24"/>
          <w:szCs w:val="24"/>
        </w:rPr>
        <w:t xml:space="preserve"> v odvětví vytápění a chl</w:t>
      </w:r>
      <w:r w:rsidR="00794920" w:rsidRPr="00766112">
        <w:rPr>
          <w:rFonts w:ascii="Arial" w:hAnsi="Arial" w:cs="Arial"/>
          <w:bCs/>
          <w:sz w:val="24"/>
          <w:szCs w:val="24"/>
        </w:rPr>
        <w:t>a</w:t>
      </w:r>
      <w:r w:rsidRPr="00766112">
        <w:rPr>
          <w:rFonts w:ascii="Arial" w:hAnsi="Arial" w:cs="Arial"/>
          <w:bCs/>
          <w:sz w:val="24"/>
          <w:szCs w:val="24"/>
        </w:rPr>
        <w:t>zení</w:t>
      </w:r>
      <w:r w:rsidR="00584CCC">
        <w:rPr>
          <w:rFonts w:ascii="Arial" w:hAnsi="Arial" w:cs="Arial"/>
          <w:bCs/>
          <w:sz w:val="24"/>
          <w:szCs w:val="24"/>
        </w:rPr>
        <w:t xml:space="preserve"> min. o </w:t>
      </w:r>
      <w:r w:rsidR="00794920" w:rsidRPr="00766112">
        <w:rPr>
          <w:rFonts w:ascii="Arial" w:hAnsi="Arial" w:cs="Arial"/>
          <w:bCs/>
          <w:sz w:val="24"/>
          <w:szCs w:val="24"/>
        </w:rPr>
        <w:t>1% podíl z celkového objemu hrubé konečné spotřeby energie z</w:t>
      </w:r>
      <w:r w:rsidR="00766112" w:rsidRPr="00766112">
        <w:rPr>
          <w:rFonts w:ascii="Arial" w:hAnsi="Arial" w:cs="Arial"/>
          <w:bCs/>
          <w:sz w:val="24"/>
          <w:szCs w:val="24"/>
        </w:rPr>
        <w:t> </w:t>
      </w:r>
      <w:proofErr w:type="spellStart"/>
      <w:r w:rsidR="00794920" w:rsidRPr="00766112">
        <w:rPr>
          <w:rFonts w:ascii="Arial" w:hAnsi="Arial" w:cs="Arial"/>
          <w:bCs/>
          <w:sz w:val="24"/>
          <w:szCs w:val="24"/>
        </w:rPr>
        <w:t>OZE</w:t>
      </w:r>
      <w:proofErr w:type="spellEnd"/>
      <w:r w:rsidR="00766112" w:rsidRPr="00766112">
        <w:rPr>
          <w:rFonts w:ascii="Arial" w:hAnsi="Arial" w:cs="Arial"/>
          <w:bCs/>
          <w:sz w:val="24"/>
          <w:szCs w:val="24"/>
        </w:rPr>
        <w:t>,</w:t>
      </w:r>
      <w:r w:rsidR="00794920" w:rsidRPr="00766112">
        <w:rPr>
          <w:rFonts w:ascii="Arial" w:hAnsi="Arial" w:cs="Arial"/>
          <w:bCs/>
          <w:sz w:val="24"/>
          <w:szCs w:val="24"/>
        </w:rPr>
        <w:t xml:space="preserve"> by měl být uložen </w:t>
      </w:r>
      <w:r w:rsidR="00766112" w:rsidRPr="00766112">
        <w:rPr>
          <w:rFonts w:ascii="Arial" w:hAnsi="Arial" w:cs="Arial"/>
          <w:bCs/>
          <w:sz w:val="24"/>
          <w:szCs w:val="24"/>
        </w:rPr>
        <w:t xml:space="preserve">mimo jiné </w:t>
      </w:r>
      <w:r w:rsidR="00794920" w:rsidRPr="00766112">
        <w:rPr>
          <w:rFonts w:ascii="Arial" w:hAnsi="Arial" w:cs="Arial"/>
          <w:bCs/>
          <w:sz w:val="24"/>
          <w:szCs w:val="24"/>
        </w:rPr>
        <w:t xml:space="preserve">dodavatelům paliv. </w:t>
      </w:r>
      <w:r w:rsidR="00766112" w:rsidRPr="00766112">
        <w:rPr>
          <w:rFonts w:ascii="Arial" w:hAnsi="Arial" w:cs="Arial"/>
          <w:bCs/>
          <w:sz w:val="24"/>
          <w:szCs w:val="24"/>
        </w:rPr>
        <w:t xml:space="preserve">Požadavek tak </w:t>
      </w:r>
      <w:r w:rsidR="00584CCC">
        <w:rPr>
          <w:rFonts w:ascii="Arial" w:hAnsi="Arial" w:cs="Arial"/>
          <w:bCs/>
          <w:sz w:val="24"/>
          <w:szCs w:val="24"/>
        </w:rPr>
        <w:t>nabádá k </w:t>
      </w:r>
      <w:r w:rsidR="00766112" w:rsidRPr="00766112">
        <w:rPr>
          <w:rFonts w:ascii="Arial" w:hAnsi="Arial" w:cs="Arial"/>
          <w:bCs/>
          <w:sz w:val="24"/>
          <w:szCs w:val="24"/>
        </w:rPr>
        <w:t>u</w:t>
      </w:r>
      <w:r w:rsidR="00584CCC">
        <w:rPr>
          <w:rFonts w:ascii="Arial" w:hAnsi="Arial" w:cs="Arial"/>
          <w:bCs/>
          <w:sz w:val="24"/>
          <w:szCs w:val="24"/>
        </w:rPr>
        <w:t xml:space="preserve">ložení </w:t>
      </w:r>
      <w:r w:rsidR="00766112" w:rsidRPr="00766112">
        <w:rPr>
          <w:rFonts w:ascii="Arial" w:hAnsi="Arial" w:cs="Arial"/>
          <w:bCs/>
          <w:sz w:val="24"/>
          <w:szCs w:val="24"/>
        </w:rPr>
        <w:t>další</w:t>
      </w:r>
      <w:r w:rsidR="00584CCC">
        <w:rPr>
          <w:rFonts w:ascii="Arial" w:hAnsi="Arial" w:cs="Arial"/>
          <w:bCs/>
          <w:sz w:val="24"/>
          <w:szCs w:val="24"/>
        </w:rPr>
        <w:t>ch</w:t>
      </w:r>
      <w:r w:rsidR="00766112" w:rsidRPr="00766112">
        <w:rPr>
          <w:rFonts w:ascii="Arial" w:hAnsi="Arial" w:cs="Arial"/>
          <w:bCs/>
          <w:sz w:val="24"/>
          <w:szCs w:val="24"/>
        </w:rPr>
        <w:t xml:space="preserve"> požadavk</w:t>
      </w:r>
      <w:r w:rsidR="00584CCC">
        <w:rPr>
          <w:rFonts w:ascii="Arial" w:hAnsi="Arial" w:cs="Arial"/>
          <w:bCs/>
          <w:sz w:val="24"/>
          <w:szCs w:val="24"/>
        </w:rPr>
        <w:t>ů</w:t>
      </w:r>
      <w:r w:rsidR="00766112" w:rsidRPr="00766112">
        <w:rPr>
          <w:rFonts w:ascii="Arial" w:hAnsi="Arial" w:cs="Arial"/>
          <w:bCs/>
          <w:sz w:val="24"/>
          <w:szCs w:val="24"/>
        </w:rPr>
        <w:t xml:space="preserve"> dodavatel</w:t>
      </w:r>
      <w:r w:rsidR="00584CCC">
        <w:rPr>
          <w:rFonts w:ascii="Arial" w:hAnsi="Arial" w:cs="Arial"/>
          <w:bCs/>
          <w:sz w:val="24"/>
          <w:szCs w:val="24"/>
        </w:rPr>
        <w:t>ům</w:t>
      </w:r>
      <w:r w:rsidR="00766112" w:rsidRPr="00766112">
        <w:rPr>
          <w:rFonts w:ascii="Arial" w:hAnsi="Arial" w:cs="Arial"/>
          <w:bCs/>
          <w:sz w:val="24"/>
          <w:szCs w:val="24"/>
        </w:rPr>
        <w:t xml:space="preserve"> paliv, kteří jsou v případě volby povinného schématu členským státem již </w:t>
      </w:r>
      <w:proofErr w:type="spellStart"/>
      <w:r w:rsidR="00766112" w:rsidRPr="00766112">
        <w:rPr>
          <w:rFonts w:ascii="Arial" w:hAnsi="Arial" w:cs="Arial"/>
          <w:bCs/>
          <w:sz w:val="24"/>
          <w:szCs w:val="24"/>
        </w:rPr>
        <w:t>zodpovědn</w:t>
      </w:r>
      <w:r w:rsidR="002623FB">
        <w:rPr>
          <w:rFonts w:ascii="Arial" w:hAnsi="Arial" w:cs="Arial"/>
          <w:bCs/>
          <w:sz w:val="24"/>
          <w:szCs w:val="24"/>
        </w:rPr>
        <w:t>i</w:t>
      </w:r>
      <w:proofErr w:type="spellEnd"/>
      <w:r w:rsidR="00766112" w:rsidRPr="00766112">
        <w:rPr>
          <w:rFonts w:ascii="Arial" w:hAnsi="Arial" w:cs="Arial"/>
          <w:bCs/>
          <w:sz w:val="24"/>
          <w:szCs w:val="24"/>
        </w:rPr>
        <w:t xml:space="preserve"> za zvyšování energetické účinnosti</w:t>
      </w:r>
      <w:r w:rsidR="00584CCC">
        <w:rPr>
          <w:rFonts w:ascii="Arial" w:hAnsi="Arial" w:cs="Arial"/>
          <w:bCs/>
          <w:sz w:val="24"/>
          <w:szCs w:val="24"/>
        </w:rPr>
        <w:t xml:space="preserve"> podle směrnice o energetické účinnosti</w:t>
      </w:r>
      <w:r w:rsidR="00766112" w:rsidRPr="00766112">
        <w:rPr>
          <w:rFonts w:ascii="Arial" w:hAnsi="Arial" w:cs="Arial"/>
          <w:bCs/>
          <w:sz w:val="24"/>
          <w:szCs w:val="24"/>
        </w:rPr>
        <w:t>.</w:t>
      </w:r>
    </w:p>
    <w:p w:rsidR="00C13BBF" w:rsidRPr="00766112" w:rsidRDefault="00C13BBF" w:rsidP="0038082D">
      <w:pPr>
        <w:jc w:val="both"/>
        <w:rPr>
          <w:rFonts w:ascii="Arial" w:hAnsi="Arial" w:cs="Arial"/>
          <w:bCs/>
          <w:sz w:val="24"/>
          <w:szCs w:val="24"/>
        </w:rPr>
      </w:pPr>
    </w:p>
    <w:p w:rsidR="00BE38E7" w:rsidRDefault="00BE38E7" w:rsidP="0038082D">
      <w:pPr>
        <w:jc w:val="both"/>
        <w:rPr>
          <w:rFonts w:ascii="Arial" w:hAnsi="Arial" w:cs="Arial"/>
          <w:bCs/>
          <w:sz w:val="24"/>
          <w:szCs w:val="24"/>
        </w:rPr>
      </w:pPr>
    </w:p>
    <w:p w:rsidR="00584CCC" w:rsidRPr="00766112" w:rsidRDefault="00584CCC" w:rsidP="0038082D">
      <w:pPr>
        <w:jc w:val="both"/>
        <w:rPr>
          <w:rFonts w:ascii="Arial" w:hAnsi="Arial" w:cs="Arial"/>
          <w:bCs/>
          <w:sz w:val="24"/>
          <w:szCs w:val="24"/>
        </w:rPr>
      </w:pPr>
    </w:p>
    <w:p w:rsidR="000264A6" w:rsidRPr="00766112" w:rsidRDefault="000264A6" w:rsidP="00E94049">
      <w:pPr>
        <w:pStyle w:val="Odstavecseseznamem"/>
        <w:numPr>
          <w:ilvl w:val="0"/>
          <w:numId w:val="5"/>
        </w:numPr>
        <w:tabs>
          <w:tab w:val="left" w:pos="426"/>
        </w:tabs>
        <w:ind w:left="426" w:hanging="426"/>
        <w:jc w:val="both"/>
        <w:rPr>
          <w:rFonts w:ascii="Arial" w:hAnsi="Arial" w:cs="Arial"/>
          <w:b/>
          <w:bCs/>
          <w:sz w:val="24"/>
        </w:rPr>
      </w:pPr>
      <w:r w:rsidRPr="00766112">
        <w:rPr>
          <w:rFonts w:ascii="Arial" w:hAnsi="Arial" w:cs="Arial"/>
          <w:b/>
          <w:bCs/>
          <w:sz w:val="24"/>
        </w:rPr>
        <w:t xml:space="preserve">Revize směrnice a nařízení z třetího energetického balíčku pro odvětví elektroenergetiky a návrh nového nařízení </w:t>
      </w:r>
      <w:r w:rsidR="00F43804" w:rsidRPr="00766112">
        <w:rPr>
          <w:rFonts w:ascii="Arial" w:hAnsi="Arial" w:cs="Arial"/>
          <w:b/>
          <w:bCs/>
          <w:sz w:val="24"/>
        </w:rPr>
        <w:t>týkající se připravenosti na krizovou situaci v odvětví elektroenergetiky</w:t>
      </w:r>
    </w:p>
    <w:p w:rsidR="009C5548" w:rsidRDefault="009C5548" w:rsidP="0038082D">
      <w:pPr>
        <w:jc w:val="both"/>
        <w:rPr>
          <w:rFonts w:ascii="Arial" w:hAnsi="Arial" w:cs="Arial"/>
          <w:sz w:val="24"/>
          <w:szCs w:val="24"/>
        </w:rPr>
      </w:pPr>
    </w:p>
    <w:p w:rsidR="000264A6" w:rsidRPr="00766112" w:rsidRDefault="00C05D7F" w:rsidP="0038082D">
      <w:pPr>
        <w:jc w:val="both"/>
        <w:rPr>
          <w:rFonts w:ascii="Arial" w:hAnsi="Arial" w:cs="Arial"/>
          <w:sz w:val="24"/>
          <w:szCs w:val="24"/>
        </w:rPr>
      </w:pPr>
      <w:r w:rsidRPr="00766112">
        <w:rPr>
          <w:rFonts w:ascii="Arial" w:hAnsi="Arial" w:cs="Arial"/>
          <w:sz w:val="24"/>
          <w:szCs w:val="24"/>
        </w:rPr>
        <w:t xml:space="preserve">Revidovaná verze směrnice a nařízení potvrzuje a posiluje principy třetího energetického balíčku, navrhované změny dopadají </w:t>
      </w:r>
      <w:r w:rsidR="004C35C2" w:rsidRPr="00766112">
        <w:rPr>
          <w:rFonts w:ascii="Arial" w:hAnsi="Arial" w:cs="Arial"/>
          <w:sz w:val="24"/>
          <w:szCs w:val="24"/>
        </w:rPr>
        <w:t xml:space="preserve">jak </w:t>
      </w:r>
      <w:r w:rsidRPr="00766112">
        <w:rPr>
          <w:rFonts w:ascii="Arial" w:hAnsi="Arial" w:cs="Arial"/>
          <w:sz w:val="24"/>
          <w:szCs w:val="24"/>
        </w:rPr>
        <w:t>na velkoobchodní trh s</w:t>
      </w:r>
      <w:r w:rsidR="004C35C2" w:rsidRPr="00766112">
        <w:rPr>
          <w:rFonts w:ascii="Arial" w:hAnsi="Arial" w:cs="Arial"/>
          <w:sz w:val="24"/>
          <w:szCs w:val="24"/>
        </w:rPr>
        <w:t> </w:t>
      </w:r>
      <w:r w:rsidRPr="00766112">
        <w:rPr>
          <w:rFonts w:ascii="Arial" w:hAnsi="Arial" w:cs="Arial"/>
          <w:sz w:val="24"/>
          <w:szCs w:val="24"/>
        </w:rPr>
        <w:t>elektřinou</w:t>
      </w:r>
      <w:r w:rsidR="004C35C2" w:rsidRPr="00766112">
        <w:rPr>
          <w:rFonts w:ascii="Arial" w:hAnsi="Arial" w:cs="Arial"/>
          <w:sz w:val="24"/>
          <w:szCs w:val="24"/>
        </w:rPr>
        <w:t>, tak na</w:t>
      </w:r>
      <w:r w:rsidRPr="00766112">
        <w:rPr>
          <w:rFonts w:ascii="Arial" w:hAnsi="Arial" w:cs="Arial"/>
          <w:sz w:val="24"/>
          <w:szCs w:val="24"/>
        </w:rPr>
        <w:t xml:space="preserve"> </w:t>
      </w:r>
      <w:r w:rsidR="004C35C2" w:rsidRPr="00766112">
        <w:rPr>
          <w:rFonts w:ascii="Arial" w:hAnsi="Arial" w:cs="Arial"/>
          <w:sz w:val="24"/>
          <w:szCs w:val="24"/>
        </w:rPr>
        <w:t>maloobchod či postavení provozovatel</w:t>
      </w:r>
      <w:r w:rsidR="00EA68FF">
        <w:rPr>
          <w:rFonts w:ascii="Arial" w:hAnsi="Arial" w:cs="Arial"/>
          <w:sz w:val="24"/>
          <w:szCs w:val="24"/>
        </w:rPr>
        <w:t>ů</w:t>
      </w:r>
      <w:r w:rsidR="004C35C2" w:rsidRPr="00766112">
        <w:rPr>
          <w:rFonts w:ascii="Arial" w:hAnsi="Arial" w:cs="Arial"/>
          <w:sz w:val="24"/>
          <w:szCs w:val="24"/>
        </w:rPr>
        <w:t xml:space="preserve"> distribučních soustav. Hlavní změny se snaží zohlednit aktuální trendy na trhu s elektřinou, jako např. digitalizace či větší komerční využití dat za účelem nabízení nových a inovativních služeb na trhu a směřují k posílení integrace výroby elektřiny z</w:t>
      </w:r>
      <w:r w:rsidR="00F17802" w:rsidRPr="00766112">
        <w:rPr>
          <w:rFonts w:ascii="Arial" w:hAnsi="Arial" w:cs="Arial"/>
          <w:sz w:val="24"/>
          <w:szCs w:val="24"/>
        </w:rPr>
        <w:t> </w:t>
      </w:r>
      <w:proofErr w:type="spellStart"/>
      <w:r w:rsidR="004C35C2" w:rsidRPr="00766112">
        <w:rPr>
          <w:rFonts w:ascii="Arial" w:hAnsi="Arial" w:cs="Arial"/>
          <w:sz w:val="24"/>
          <w:szCs w:val="24"/>
        </w:rPr>
        <w:t>OZE</w:t>
      </w:r>
      <w:proofErr w:type="spellEnd"/>
      <w:r w:rsidR="004C35C2" w:rsidRPr="00766112">
        <w:rPr>
          <w:rFonts w:ascii="Arial" w:hAnsi="Arial" w:cs="Arial"/>
          <w:sz w:val="24"/>
          <w:szCs w:val="24"/>
        </w:rPr>
        <w:t>. Zohlednění těchto trendů je určitě vítan</w:t>
      </w:r>
      <w:r w:rsidR="00F17802" w:rsidRPr="00766112">
        <w:rPr>
          <w:rFonts w:ascii="Arial" w:hAnsi="Arial" w:cs="Arial"/>
          <w:sz w:val="24"/>
          <w:szCs w:val="24"/>
        </w:rPr>
        <w:t xml:space="preserve">ým doplněním stávajících požadavků plynoucích z </w:t>
      </w:r>
      <w:r w:rsidR="004C35C2" w:rsidRPr="00766112">
        <w:rPr>
          <w:rFonts w:ascii="Arial" w:hAnsi="Arial" w:cs="Arial"/>
          <w:sz w:val="24"/>
          <w:szCs w:val="24"/>
        </w:rPr>
        <w:t xml:space="preserve">třetího energetického balíčku, nicméně </w:t>
      </w:r>
      <w:r w:rsidR="00F17802" w:rsidRPr="00766112">
        <w:rPr>
          <w:rFonts w:ascii="Arial" w:hAnsi="Arial" w:cs="Arial"/>
          <w:sz w:val="24"/>
          <w:szCs w:val="24"/>
        </w:rPr>
        <w:t>unijní legislativa</w:t>
      </w:r>
      <w:r w:rsidR="004C35C2" w:rsidRPr="00766112">
        <w:rPr>
          <w:rFonts w:ascii="Arial" w:hAnsi="Arial" w:cs="Arial"/>
          <w:sz w:val="24"/>
          <w:szCs w:val="24"/>
        </w:rPr>
        <w:t xml:space="preserve"> by měla zohlednit i </w:t>
      </w:r>
      <w:r w:rsidR="00F17802" w:rsidRPr="00766112">
        <w:rPr>
          <w:rFonts w:ascii="Arial" w:hAnsi="Arial" w:cs="Arial"/>
          <w:sz w:val="24"/>
          <w:szCs w:val="24"/>
        </w:rPr>
        <w:t xml:space="preserve">existující </w:t>
      </w:r>
      <w:r w:rsidR="004C35C2" w:rsidRPr="00766112">
        <w:rPr>
          <w:rFonts w:ascii="Arial" w:hAnsi="Arial" w:cs="Arial"/>
          <w:sz w:val="24"/>
          <w:szCs w:val="24"/>
        </w:rPr>
        <w:t xml:space="preserve">národní specifika </w:t>
      </w:r>
      <w:r w:rsidR="00F17802" w:rsidRPr="00766112">
        <w:rPr>
          <w:rFonts w:ascii="Arial" w:hAnsi="Arial" w:cs="Arial"/>
          <w:sz w:val="24"/>
          <w:szCs w:val="24"/>
        </w:rPr>
        <w:t>a</w:t>
      </w:r>
      <w:r w:rsidR="004C35C2" w:rsidRPr="00766112">
        <w:rPr>
          <w:rFonts w:ascii="Arial" w:hAnsi="Arial" w:cs="Arial"/>
          <w:sz w:val="24"/>
          <w:szCs w:val="24"/>
        </w:rPr>
        <w:t xml:space="preserve"> poskyt</w:t>
      </w:r>
      <w:r w:rsidR="00F17802" w:rsidRPr="00766112">
        <w:rPr>
          <w:rFonts w:ascii="Arial" w:hAnsi="Arial" w:cs="Arial"/>
          <w:sz w:val="24"/>
          <w:szCs w:val="24"/>
        </w:rPr>
        <w:t>nout</w:t>
      </w:r>
      <w:r w:rsidR="004C35C2" w:rsidRPr="00766112">
        <w:rPr>
          <w:rFonts w:ascii="Arial" w:hAnsi="Arial" w:cs="Arial"/>
          <w:sz w:val="24"/>
          <w:szCs w:val="24"/>
        </w:rPr>
        <w:t xml:space="preserve"> dotčeným účastníkům trhu s elektřinou přiměřené lhůty </w:t>
      </w:r>
      <w:r w:rsidR="00F17802" w:rsidRPr="00766112">
        <w:rPr>
          <w:rFonts w:ascii="Arial" w:hAnsi="Arial" w:cs="Arial"/>
          <w:sz w:val="24"/>
          <w:szCs w:val="24"/>
        </w:rPr>
        <w:t>k</w:t>
      </w:r>
      <w:r w:rsidR="00584CCC">
        <w:rPr>
          <w:rFonts w:ascii="Arial" w:hAnsi="Arial" w:cs="Arial"/>
          <w:sz w:val="24"/>
          <w:szCs w:val="24"/>
        </w:rPr>
        <w:t> </w:t>
      </w:r>
      <w:r w:rsidR="004C35C2" w:rsidRPr="00766112">
        <w:rPr>
          <w:rFonts w:ascii="Arial" w:hAnsi="Arial" w:cs="Arial"/>
          <w:sz w:val="24"/>
          <w:szCs w:val="24"/>
        </w:rPr>
        <w:t>adaptaci na nov</w:t>
      </w:r>
      <w:r w:rsidR="00F17802" w:rsidRPr="00766112">
        <w:rPr>
          <w:rFonts w:ascii="Arial" w:hAnsi="Arial" w:cs="Arial"/>
          <w:sz w:val="24"/>
          <w:szCs w:val="24"/>
        </w:rPr>
        <w:t>é</w:t>
      </w:r>
      <w:r w:rsidR="004C35C2" w:rsidRPr="00766112">
        <w:rPr>
          <w:rFonts w:ascii="Arial" w:hAnsi="Arial" w:cs="Arial"/>
          <w:sz w:val="24"/>
          <w:szCs w:val="24"/>
        </w:rPr>
        <w:t xml:space="preserve"> </w:t>
      </w:r>
      <w:r w:rsidR="00F17802" w:rsidRPr="00766112">
        <w:rPr>
          <w:rFonts w:ascii="Arial" w:hAnsi="Arial" w:cs="Arial"/>
          <w:sz w:val="24"/>
          <w:szCs w:val="24"/>
        </w:rPr>
        <w:t xml:space="preserve">či doplněné </w:t>
      </w:r>
      <w:r w:rsidR="00584CCC">
        <w:rPr>
          <w:rFonts w:ascii="Arial" w:hAnsi="Arial" w:cs="Arial"/>
          <w:sz w:val="24"/>
          <w:szCs w:val="24"/>
        </w:rPr>
        <w:t>požadavky.</w:t>
      </w:r>
    </w:p>
    <w:p w:rsidR="004C35C2" w:rsidRPr="00766112" w:rsidRDefault="004C35C2" w:rsidP="0038082D">
      <w:pPr>
        <w:jc w:val="both"/>
        <w:rPr>
          <w:rFonts w:ascii="Arial" w:hAnsi="Arial" w:cs="Arial"/>
          <w:sz w:val="24"/>
          <w:szCs w:val="24"/>
        </w:rPr>
      </w:pPr>
    </w:p>
    <w:p w:rsidR="00C05D7F" w:rsidRPr="00584CCC" w:rsidRDefault="00C05D7F" w:rsidP="0038082D">
      <w:pPr>
        <w:jc w:val="both"/>
        <w:rPr>
          <w:rFonts w:ascii="Arial" w:hAnsi="Arial" w:cs="Arial"/>
          <w:sz w:val="24"/>
          <w:szCs w:val="24"/>
          <w:u w:val="single"/>
        </w:rPr>
      </w:pPr>
      <w:r w:rsidRPr="00584CCC">
        <w:rPr>
          <w:rFonts w:ascii="Arial" w:hAnsi="Arial" w:cs="Arial"/>
          <w:sz w:val="24"/>
          <w:szCs w:val="24"/>
          <w:u w:val="single"/>
        </w:rPr>
        <w:t>Velkoobchod</w:t>
      </w:r>
    </w:p>
    <w:p w:rsidR="007D3D7E" w:rsidRPr="00584CCC" w:rsidRDefault="00F17802" w:rsidP="0038082D">
      <w:pPr>
        <w:jc w:val="both"/>
        <w:rPr>
          <w:rFonts w:ascii="Arial" w:hAnsi="Arial" w:cs="Arial"/>
          <w:sz w:val="24"/>
          <w:szCs w:val="24"/>
        </w:rPr>
      </w:pPr>
      <w:r w:rsidRPr="00766112">
        <w:rPr>
          <w:rFonts w:ascii="Arial" w:hAnsi="Arial" w:cs="Arial"/>
          <w:sz w:val="24"/>
          <w:szCs w:val="24"/>
        </w:rPr>
        <w:t>Základní principy nediskriminačního fungování velkoobchodního trhu s elektřinou ve vztahu k přístupu třetích stran, činností provozovatele přenosové soustavy (dále jen „</w:t>
      </w:r>
      <w:proofErr w:type="spellStart"/>
      <w:r w:rsidRPr="00766112">
        <w:rPr>
          <w:rFonts w:ascii="Arial" w:hAnsi="Arial" w:cs="Arial"/>
          <w:sz w:val="24"/>
          <w:szCs w:val="24"/>
        </w:rPr>
        <w:t>PPS</w:t>
      </w:r>
      <w:proofErr w:type="spellEnd"/>
      <w:r w:rsidRPr="00766112">
        <w:rPr>
          <w:rFonts w:ascii="Arial" w:hAnsi="Arial" w:cs="Arial"/>
          <w:sz w:val="24"/>
          <w:szCs w:val="24"/>
        </w:rPr>
        <w:t>“) ve vztahu k jejímu provozování či požadavky na oddělení (</w:t>
      </w:r>
      <w:proofErr w:type="spellStart"/>
      <w:r w:rsidRPr="00766112">
        <w:rPr>
          <w:rFonts w:ascii="Arial" w:hAnsi="Arial" w:cs="Arial"/>
          <w:sz w:val="24"/>
          <w:szCs w:val="24"/>
        </w:rPr>
        <w:t>unbundling</w:t>
      </w:r>
      <w:proofErr w:type="spellEnd"/>
      <w:r w:rsidRPr="00766112">
        <w:rPr>
          <w:rFonts w:ascii="Arial" w:hAnsi="Arial" w:cs="Arial"/>
          <w:sz w:val="24"/>
          <w:szCs w:val="24"/>
        </w:rPr>
        <w:t xml:space="preserve">) zůstávají nezměněny. Dochází k upřesnění </w:t>
      </w:r>
      <w:r w:rsidR="00AA4B06" w:rsidRPr="00766112">
        <w:rPr>
          <w:rFonts w:ascii="Arial" w:hAnsi="Arial" w:cs="Arial"/>
          <w:sz w:val="24"/>
          <w:szCs w:val="24"/>
        </w:rPr>
        <w:t xml:space="preserve">ohledně </w:t>
      </w:r>
      <w:r w:rsidRPr="00766112">
        <w:rPr>
          <w:rFonts w:ascii="Arial" w:hAnsi="Arial" w:cs="Arial"/>
          <w:sz w:val="24"/>
          <w:szCs w:val="24"/>
        </w:rPr>
        <w:t xml:space="preserve">omezení </w:t>
      </w:r>
      <w:r w:rsidR="00AA4B06" w:rsidRPr="00766112">
        <w:rPr>
          <w:rFonts w:ascii="Arial" w:hAnsi="Arial" w:cs="Arial"/>
          <w:sz w:val="24"/>
          <w:szCs w:val="24"/>
        </w:rPr>
        <w:t xml:space="preserve">pro </w:t>
      </w:r>
      <w:proofErr w:type="spellStart"/>
      <w:r w:rsidR="00AA4B06" w:rsidRPr="00766112">
        <w:rPr>
          <w:rFonts w:ascii="Arial" w:hAnsi="Arial" w:cs="Arial"/>
          <w:sz w:val="24"/>
          <w:szCs w:val="24"/>
        </w:rPr>
        <w:t>PPS</w:t>
      </w:r>
      <w:proofErr w:type="spellEnd"/>
      <w:r w:rsidR="00AA4B06" w:rsidRPr="00766112">
        <w:rPr>
          <w:rFonts w:ascii="Arial" w:hAnsi="Arial" w:cs="Arial"/>
          <w:sz w:val="24"/>
          <w:szCs w:val="24"/>
        </w:rPr>
        <w:t xml:space="preserve"> </w:t>
      </w:r>
      <w:r w:rsidRPr="00766112">
        <w:rPr>
          <w:rFonts w:ascii="Arial" w:hAnsi="Arial" w:cs="Arial"/>
          <w:sz w:val="24"/>
          <w:szCs w:val="24"/>
        </w:rPr>
        <w:t>vztahujících se k</w:t>
      </w:r>
      <w:r w:rsidR="00AA4B06" w:rsidRPr="00766112">
        <w:rPr>
          <w:rFonts w:ascii="Arial" w:hAnsi="Arial" w:cs="Arial"/>
          <w:sz w:val="24"/>
          <w:szCs w:val="24"/>
        </w:rPr>
        <w:t xml:space="preserve"> případnému </w:t>
      </w:r>
      <w:r w:rsidRPr="00766112">
        <w:rPr>
          <w:rFonts w:ascii="Arial" w:hAnsi="Arial" w:cs="Arial"/>
          <w:sz w:val="24"/>
          <w:szCs w:val="24"/>
        </w:rPr>
        <w:t xml:space="preserve">vlastnictví, řízení a provozu </w:t>
      </w:r>
      <w:r w:rsidR="00AA4B06" w:rsidRPr="00766112">
        <w:rPr>
          <w:rFonts w:ascii="Arial" w:hAnsi="Arial" w:cs="Arial"/>
          <w:sz w:val="24"/>
          <w:szCs w:val="24"/>
        </w:rPr>
        <w:t>zařízení na skladování elektřiny</w:t>
      </w:r>
      <w:r w:rsidRPr="00766112">
        <w:rPr>
          <w:rFonts w:ascii="Arial" w:hAnsi="Arial" w:cs="Arial"/>
          <w:sz w:val="24"/>
          <w:szCs w:val="24"/>
        </w:rPr>
        <w:t xml:space="preserve"> </w:t>
      </w:r>
      <w:r w:rsidR="00AA4B06" w:rsidRPr="00766112">
        <w:rPr>
          <w:rFonts w:ascii="Arial" w:hAnsi="Arial" w:cs="Arial"/>
          <w:sz w:val="24"/>
          <w:szCs w:val="24"/>
        </w:rPr>
        <w:t xml:space="preserve">ze strany </w:t>
      </w:r>
      <w:proofErr w:type="spellStart"/>
      <w:r w:rsidR="00AA4B06" w:rsidRPr="00766112">
        <w:rPr>
          <w:rFonts w:ascii="Arial" w:hAnsi="Arial" w:cs="Arial"/>
          <w:sz w:val="24"/>
          <w:szCs w:val="24"/>
        </w:rPr>
        <w:t>PPS</w:t>
      </w:r>
      <w:proofErr w:type="spellEnd"/>
      <w:r w:rsidR="00AA4B06" w:rsidRPr="00766112">
        <w:rPr>
          <w:rFonts w:ascii="Arial" w:hAnsi="Arial" w:cs="Arial"/>
          <w:sz w:val="24"/>
          <w:szCs w:val="24"/>
        </w:rPr>
        <w:t xml:space="preserve"> a vlastnictví zařízení, který poskytují podpůrné služby. Návrh nařízení se rovněž zaměřuje na posílení fungování </w:t>
      </w:r>
      <w:proofErr w:type="spellStart"/>
      <w:r w:rsidR="00AA4B06" w:rsidRPr="00766112">
        <w:rPr>
          <w:rFonts w:ascii="Arial" w:hAnsi="Arial" w:cs="Arial"/>
          <w:sz w:val="24"/>
          <w:szCs w:val="24"/>
        </w:rPr>
        <w:t>přeshraničního</w:t>
      </w:r>
      <w:proofErr w:type="spellEnd"/>
      <w:r w:rsidR="00AA4B06" w:rsidRPr="00766112">
        <w:rPr>
          <w:rFonts w:ascii="Arial" w:hAnsi="Arial" w:cs="Arial"/>
          <w:sz w:val="24"/>
          <w:szCs w:val="24"/>
        </w:rPr>
        <w:t xml:space="preserve"> trhu s elektřinou, včetně definice </w:t>
      </w:r>
      <w:r w:rsidR="00EA68FF">
        <w:rPr>
          <w:rFonts w:ascii="Arial" w:hAnsi="Arial" w:cs="Arial"/>
          <w:sz w:val="24"/>
          <w:szCs w:val="24"/>
        </w:rPr>
        <w:t>obchodních zón</w:t>
      </w:r>
      <w:r w:rsidR="00AA4B06" w:rsidRPr="00766112">
        <w:rPr>
          <w:rFonts w:ascii="Arial" w:hAnsi="Arial" w:cs="Arial"/>
          <w:sz w:val="24"/>
          <w:szCs w:val="24"/>
        </w:rPr>
        <w:t xml:space="preserve"> (</w:t>
      </w:r>
      <w:proofErr w:type="spellStart"/>
      <w:r w:rsidR="00AA4B06" w:rsidRPr="00766112">
        <w:rPr>
          <w:rFonts w:ascii="Arial" w:hAnsi="Arial" w:cs="Arial"/>
          <w:sz w:val="24"/>
          <w:szCs w:val="24"/>
        </w:rPr>
        <w:t>bidding</w:t>
      </w:r>
      <w:proofErr w:type="spellEnd"/>
      <w:r w:rsidR="00AA4B06" w:rsidRPr="00766112">
        <w:rPr>
          <w:rFonts w:ascii="Arial" w:hAnsi="Arial" w:cs="Arial"/>
          <w:sz w:val="24"/>
          <w:szCs w:val="24"/>
        </w:rPr>
        <w:t xml:space="preserve"> </w:t>
      </w:r>
      <w:proofErr w:type="spellStart"/>
      <w:r w:rsidR="00AA4B06" w:rsidRPr="00766112">
        <w:rPr>
          <w:rFonts w:ascii="Arial" w:hAnsi="Arial" w:cs="Arial"/>
          <w:sz w:val="24"/>
          <w:szCs w:val="24"/>
        </w:rPr>
        <w:t>zones</w:t>
      </w:r>
      <w:proofErr w:type="spellEnd"/>
      <w:r w:rsidR="00AA4B06" w:rsidRPr="00766112">
        <w:rPr>
          <w:rFonts w:ascii="Arial" w:hAnsi="Arial" w:cs="Arial"/>
          <w:sz w:val="24"/>
          <w:szCs w:val="24"/>
        </w:rPr>
        <w:t xml:space="preserve">) a dále stanoví rámcová pravidla pro </w:t>
      </w:r>
      <w:r w:rsidR="00AA4B06" w:rsidRPr="00584CCC">
        <w:rPr>
          <w:rFonts w:ascii="Arial" w:hAnsi="Arial" w:cs="Arial"/>
          <w:sz w:val="24"/>
          <w:szCs w:val="24"/>
        </w:rPr>
        <w:t>fungování spotových trhů, včetně upřesnění některých pravide</w:t>
      </w:r>
      <w:r w:rsidR="008E55C3">
        <w:rPr>
          <w:rFonts w:ascii="Arial" w:hAnsi="Arial" w:cs="Arial"/>
          <w:sz w:val="24"/>
          <w:szCs w:val="24"/>
        </w:rPr>
        <w:t>l ohledně vyrovnávání soustavy.</w:t>
      </w:r>
    </w:p>
    <w:p w:rsidR="00C05D7F" w:rsidRPr="00584CCC" w:rsidRDefault="00DD2678" w:rsidP="0038082D">
      <w:pPr>
        <w:jc w:val="both"/>
        <w:rPr>
          <w:rFonts w:ascii="Arial" w:hAnsi="Arial" w:cs="Arial"/>
          <w:sz w:val="24"/>
          <w:szCs w:val="24"/>
        </w:rPr>
      </w:pPr>
      <w:r w:rsidRPr="00584CCC">
        <w:rPr>
          <w:rFonts w:ascii="Arial" w:hAnsi="Arial" w:cs="Arial"/>
          <w:sz w:val="24"/>
          <w:szCs w:val="24"/>
        </w:rPr>
        <w:t>Tlak na větší integraci národních trhů je sice dlouhodobým cílem na cestě k vytvoření funkčního a likvidního unijního trhu s elektřinou, nicméně při utváření nadnárodních entit typu tzv. regionální provozní centra (</w:t>
      </w:r>
      <w:proofErr w:type="spellStart"/>
      <w:r w:rsidRPr="00584CCC">
        <w:rPr>
          <w:rFonts w:ascii="Arial" w:hAnsi="Arial" w:cs="Arial"/>
          <w:sz w:val="24"/>
          <w:szCs w:val="24"/>
        </w:rPr>
        <w:t>regional</w:t>
      </w:r>
      <w:proofErr w:type="spellEnd"/>
      <w:r w:rsidRPr="00584CCC">
        <w:rPr>
          <w:rFonts w:ascii="Arial" w:hAnsi="Arial" w:cs="Arial"/>
          <w:sz w:val="24"/>
          <w:szCs w:val="24"/>
        </w:rPr>
        <w:t xml:space="preserve"> </w:t>
      </w:r>
      <w:proofErr w:type="spellStart"/>
      <w:r w:rsidRPr="00584CCC">
        <w:rPr>
          <w:rFonts w:ascii="Arial" w:hAnsi="Arial" w:cs="Arial"/>
          <w:sz w:val="24"/>
          <w:szCs w:val="24"/>
        </w:rPr>
        <w:t>operational</w:t>
      </w:r>
      <w:proofErr w:type="spellEnd"/>
      <w:r w:rsidRPr="00584CCC">
        <w:rPr>
          <w:rFonts w:ascii="Arial" w:hAnsi="Arial" w:cs="Arial"/>
          <w:sz w:val="24"/>
          <w:szCs w:val="24"/>
        </w:rPr>
        <w:t xml:space="preserve"> </w:t>
      </w:r>
      <w:proofErr w:type="spellStart"/>
      <w:r w:rsidRPr="00584CCC">
        <w:rPr>
          <w:rFonts w:ascii="Arial" w:hAnsi="Arial" w:cs="Arial"/>
          <w:sz w:val="24"/>
          <w:szCs w:val="24"/>
        </w:rPr>
        <w:t>centres</w:t>
      </w:r>
      <w:proofErr w:type="spellEnd"/>
      <w:r w:rsidRPr="00584CCC">
        <w:rPr>
          <w:rFonts w:ascii="Arial" w:hAnsi="Arial" w:cs="Arial"/>
          <w:sz w:val="24"/>
          <w:szCs w:val="24"/>
        </w:rPr>
        <w:t xml:space="preserve">) by měla být jednoznačně dořešena otázka (právní či politické) odpovědnosti těchto entit, </w:t>
      </w:r>
      <w:r w:rsidR="007D3D7E" w:rsidRPr="00584CCC">
        <w:rPr>
          <w:rFonts w:ascii="Arial" w:hAnsi="Arial" w:cs="Arial"/>
          <w:sz w:val="24"/>
          <w:szCs w:val="24"/>
        </w:rPr>
        <w:t>např.</w:t>
      </w:r>
      <w:r w:rsidRPr="00584CCC">
        <w:rPr>
          <w:rFonts w:ascii="Arial" w:hAnsi="Arial" w:cs="Arial"/>
          <w:sz w:val="24"/>
          <w:szCs w:val="24"/>
        </w:rPr>
        <w:t xml:space="preserve"> v případě zajištění bezpečnosti dodávek elektřiny v konkrétních členských státech nacházejících se v daném regionu, kdy v současné době leží primární odpovědnost v těchto záležitostech na daném členském státě. </w:t>
      </w:r>
      <w:r w:rsidR="007D3D7E" w:rsidRPr="00584CCC">
        <w:rPr>
          <w:rFonts w:ascii="Arial" w:hAnsi="Arial" w:cs="Arial"/>
          <w:sz w:val="24"/>
          <w:szCs w:val="24"/>
        </w:rPr>
        <w:t xml:space="preserve">Otázkou může být rovněž </w:t>
      </w:r>
      <w:r w:rsidR="007D3D7E" w:rsidRPr="00584CCC">
        <w:rPr>
          <w:rFonts w:ascii="Arial" w:hAnsi="Arial" w:cs="Arial"/>
          <w:sz w:val="24"/>
          <w:szCs w:val="24"/>
        </w:rPr>
        <w:lastRenderedPageBreak/>
        <w:t>vynutitelnost plnění rozhodnutí/doporučení těchto entit či obecně efektivnost dohledu nad jejich činností.</w:t>
      </w:r>
    </w:p>
    <w:p w:rsidR="004C35C2" w:rsidRPr="00584CCC" w:rsidRDefault="004C35C2" w:rsidP="0038082D">
      <w:pPr>
        <w:jc w:val="both"/>
        <w:rPr>
          <w:rFonts w:ascii="Arial" w:hAnsi="Arial" w:cs="Arial"/>
          <w:sz w:val="24"/>
          <w:szCs w:val="24"/>
        </w:rPr>
      </w:pPr>
    </w:p>
    <w:p w:rsidR="00C05D7F" w:rsidRPr="00584CCC" w:rsidRDefault="00C05D7F" w:rsidP="00AE71EB">
      <w:pPr>
        <w:keepNext/>
        <w:jc w:val="both"/>
        <w:rPr>
          <w:rFonts w:ascii="Arial" w:hAnsi="Arial" w:cs="Arial"/>
          <w:sz w:val="24"/>
          <w:szCs w:val="24"/>
          <w:u w:val="single"/>
        </w:rPr>
      </w:pPr>
      <w:r w:rsidRPr="00584CCC">
        <w:rPr>
          <w:rFonts w:ascii="Arial" w:hAnsi="Arial" w:cs="Arial"/>
          <w:sz w:val="24"/>
          <w:szCs w:val="24"/>
          <w:u w:val="single"/>
        </w:rPr>
        <w:t>Maloobchod</w:t>
      </w:r>
    </w:p>
    <w:p w:rsidR="000264A6" w:rsidRPr="006C3821" w:rsidRDefault="007D3D7E" w:rsidP="008E55C3">
      <w:pPr>
        <w:keepNext/>
        <w:jc w:val="both"/>
        <w:rPr>
          <w:rFonts w:ascii="Arial" w:hAnsi="Arial" w:cs="Arial"/>
          <w:b/>
          <w:sz w:val="24"/>
          <w:szCs w:val="24"/>
        </w:rPr>
      </w:pPr>
      <w:r w:rsidRPr="006C3821">
        <w:rPr>
          <w:rFonts w:ascii="Arial" w:hAnsi="Arial" w:cs="Arial"/>
          <w:b/>
          <w:sz w:val="24"/>
          <w:szCs w:val="24"/>
        </w:rPr>
        <w:t>Posílení práv zákazníků</w:t>
      </w:r>
    </w:p>
    <w:p w:rsidR="00210EA8" w:rsidRPr="00766112" w:rsidRDefault="007D3D7E" w:rsidP="0038082D">
      <w:pPr>
        <w:jc w:val="both"/>
        <w:rPr>
          <w:rFonts w:ascii="Arial" w:hAnsi="Arial" w:cs="Arial"/>
          <w:sz w:val="24"/>
          <w:szCs w:val="24"/>
        </w:rPr>
      </w:pPr>
      <w:r w:rsidRPr="00766112">
        <w:rPr>
          <w:rFonts w:ascii="Arial" w:hAnsi="Arial" w:cs="Arial"/>
          <w:sz w:val="24"/>
          <w:szCs w:val="24"/>
        </w:rPr>
        <w:t>Revidovaná verze směrnice posiluje postavení zákazníků na trhu s elektřinou a vedle specifických témat týkajících se tohoto odvětví (samovýroba elektřiny přímo zákazníky</w:t>
      </w:r>
      <w:r w:rsidR="001E1E58" w:rsidRPr="00766112">
        <w:rPr>
          <w:rFonts w:ascii="Arial" w:hAnsi="Arial" w:cs="Arial"/>
          <w:sz w:val="24"/>
          <w:szCs w:val="24"/>
        </w:rPr>
        <w:t>, kde podporujeme požadavek na snižování či eliminaci administrativních či regulatorních bariér pro tyto subjekty, vč. záležitostí týkajících se licencí</w:t>
      </w:r>
      <w:r w:rsidRPr="00766112">
        <w:rPr>
          <w:rFonts w:ascii="Arial" w:hAnsi="Arial" w:cs="Arial"/>
          <w:sz w:val="24"/>
          <w:szCs w:val="24"/>
        </w:rPr>
        <w:t>) se směr</w:t>
      </w:r>
      <w:r w:rsidR="00210EA8" w:rsidRPr="00766112">
        <w:rPr>
          <w:rFonts w:ascii="Arial" w:hAnsi="Arial" w:cs="Arial"/>
          <w:sz w:val="24"/>
          <w:szCs w:val="24"/>
        </w:rPr>
        <w:t xml:space="preserve">nice dotýká rovněž témat, která mohou mít </w:t>
      </w:r>
      <w:r w:rsidRPr="00766112">
        <w:rPr>
          <w:rFonts w:ascii="Arial" w:hAnsi="Arial" w:cs="Arial"/>
          <w:sz w:val="24"/>
          <w:szCs w:val="24"/>
        </w:rPr>
        <w:t>přesah</w:t>
      </w:r>
      <w:r w:rsidR="00210EA8" w:rsidRPr="00766112">
        <w:rPr>
          <w:rFonts w:ascii="Arial" w:hAnsi="Arial" w:cs="Arial"/>
          <w:sz w:val="24"/>
          <w:szCs w:val="24"/>
        </w:rPr>
        <w:t xml:space="preserve"> i</w:t>
      </w:r>
      <w:r w:rsidRPr="00766112">
        <w:rPr>
          <w:rFonts w:ascii="Arial" w:hAnsi="Arial" w:cs="Arial"/>
          <w:sz w:val="24"/>
          <w:szCs w:val="24"/>
        </w:rPr>
        <w:t xml:space="preserve"> do </w:t>
      </w:r>
      <w:r w:rsidR="00210EA8" w:rsidRPr="00766112">
        <w:rPr>
          <w:rFonts w:ascii="Arial" w:hAnsi="Arial" w:cs="Arial"/>
          <w:sz w:val="24"/>
          <w:szCs w:val="24"/>
        </w:rPr>
        <w:t xml:space="preserve">plynárenského </w:t>
      </w:r>
      <w:r w:rsidRPr="00766112">
        <w:rPr>
          <w:rFonts w:ascii="Arial" w:hAnsi="Arial" w:cs="Arial"/>
          <w:sz w:val="24"/>
          <w:szCs w:val="24"/>
        </w:rPr>
        <w:t>sektor</w:t>
      </w:r>
      <w:r w:rsidR="00210EA8" w:rsidRPr="00766112">
        <w:rPr>
          <w:rFonts w:ascii="Arial" w:hAnsi="Arial" w:cs="Arial"/>
          <w:sz w:val="24"/>
          <w:szCs w:val="24"/>
        </w:rPr>
        <w:t xml:space="preserve">u. Jedná se zejména doplnění ustanovení týkajících se zranitelných zákazníků či energetické chudoby, vyúčtování, srovnávačů cen či odpojování zákazníků. Oceňujeme, že v otázkách týkajících se definice zranitelných zákazníků či stanovení pravidel pro určování energetické chudoby je ponechán prostor pro zohlednění národních specifik. </w:t>
      </w:r>
    </w:p>
    <w:p w:rsidR="00D61B15" w:rsidRPr="00766112" w:rsidRDefault="00D61B15" w:rsidP="0038082D">
      <w:pPr>
        <w:jc w:val="both"/>
        <w:rPr>
          <w:rFonts w:ascii="Arial" w:hAnsi="Arial" w:cs="Arial"/>
          <w:sz w:val="24"/>
          <w:szCs w:val="24"/>
        </w:rPr>
      </w:pPr>
      <w:r w:rsidRPr="00766112">
        <w:rPr>
          <w:rFonts w:ascii="Arial" w:hAnsi="Arial" w:cs="Arial"/>
          <w:sz w:val="24"/>
          <w:szCs w:val="24"/>
        </w:rPr>
        <w:t xml:space="preserve">Vítáme explicitní zdůraznění principu cenotvorby bez státních zásahů a požadavku na postupné odstranění regulace cen (komoditní složky ceny) u koncových zákazníků, zejména domácností. Rovněž vnímáme jako přínosné zavedení notifikační povinnosti vůči Komisi (vč. její pravomoci zasáhnout do rozhodování dotčeného členského státu v těchto záležitostech) v případě, že daný členský stát tyto ceny reguluje.  </w:t>
      </w:r>
    </w:p>
    <w:p w:rsidR="00D61B15" w:rsidRPr="00766112" w:rsidRDefault="00210EA8" w:rsidP="0038082D">
      <w:pPr>
        <w:jc w:val="both"/>
        <w:rPr>
          <w:rFonts w:ascii="Arial" w:hAnsi="Arial" w:cs="Arial"/>
          <w:sz w:val="24"/>
          <w:szCs w:val="24"/>
        </w:rPr>
      </w:pPr>
      <w:r w:rsidRPr="00766112">
        <w:rPr>
          <w:rFonts w:ascii="Arial" w:hAnsi="Arial" w:cs="Arial"/>
          <w:sz w:val="24"/>
          <w:szCs w:val="24"/>
        </w:rPr>
        <w:t>V otázkách týkajících se posílení práv zákazníků vyzdvihujeme výslovný zákaz účtování poplatků v souvislosti se změnou dodavatele, které nejednou představují administrativní bariéru pro změnu dodavatele, za předpokladu, že návrh nebude zasahovat do smluvních ujednání mezi zákazníkem a dodavatelem v případě smluv na dobu určitou (návrh by ale měl být oproštěn od vágních pojmů typu „</w:t>
      </w:r>
      <w:proofErr w:type="spellStart"/>
      <w:r w:rsidRPr="00766112">
        <w:rPr>
          <w:rFonts w:ascii="Arial" w:hAnsi="Arial" w:cs="Arial"/>
          <w:sz w:val="24"/>
          <w:szCs w:val="24"/>
        </w:rPr>
        <w:t>demo</w:t>
      </w:r>
      <w:r w:rsidR="00816FFA">
        <w:rPr>
          <w:rFonts w:ascii="Arial" w:hAnsi="Arial" w:cs="Arial"/>
          <w:sz w:val="24"/>
          <w:szCs w:val="24"/>
        </w:rPr>
        <w:t>n</w:t>
      </w:r>
      <w:r w:rsidRPr="00766112">
        <w:rPr>
          <w:rFonts w:ascii="Arial" w:hAnsi="Arial" w:cs="Arial"/>
          <w:sz w:val="24"/>
          <w:szCs w:val="24"/>
        </w:rPr>
        <w:t>strable</w:t>
      </w:r>
      <w:proofErr w:type="spellEnd"/>
      <w:r w:rsidRPr="00766112">
        <w:rPr>
          <w:rFonts w:ascii="Arial" w:hAnsi="Arial" w:cs="Arial"/>
          <w:sz w:val="24"/>
          <w:szCs w:val="24"/>
        </w:rPr>
        <w:t xml:space="preserve"> </w:t>
      </w:r>
      <w:proofErr w:type="spellStart"/>
      <w:r w:rsidRPr="00766112">
        <w:rPr>
          <w:rFonts w:ascii="Arial" w:hAnsi="Arial" w:cs="Arial"/>
          <w:sz w:val="24"/>
          <w:szCs w:val="24"/>
        </w:rPr>
        <w:t>advantages</w:t>
      </w:r>
      <w:proofErr w:type="spellEnd"/>
      <w:r w:rsidRPr="00766112">
        <w:rPr>
          <w:rFonts w:ascii="Arial" w:hAnsi="Arial" w:cs="Arial"/>
          <w:sz w:val="24"/>
          <w:szCs w:val="24"/>
        </w:rPr>
        <w:t xml:space="preserve">“). V případě srovnávačů cen by měl být zdůrazněn </w:t>
      </w:r>
      <w:r w:rsidR="00662816" w:rsidRPr="00766112">
        <w:rPr>
          <w:rFonts w:ascii="Arial" w:hAnsi="Arial" w:cs="Arial"/>
          <w:sz w:val="24"/>
          <w:szCs w:val="24"/>
        </w:rPr>
        <w:t xml:space="preserve">rovněž </w:t>
      </w:r>
      <w:r w:rsidRPr="00766112">
        <w:rPr>
          <w:rFonts w:ascii="Arial" w:hAnsi="Arial" w:cs="Arial"/>
          <w:sz w:val="24"/>
          <w:szCs w:val="24"/>
        </w:rPr>
        <w:t xml:space="preserve">požadavek na </w:t>
      </w:r>
      <w:r w:rsidR="00662816" w:rsidRPr="00766112">
        <w:rPr>
          <w:rFonts w:ascii="Arial" w:hAnsi="Arial" w:cs="Arial"/>
          <w:sz w:val="24"/>
          <w:szCs w:val="24"/>
        </w:rPr>
        <w:t xml:space="preserve">srovnávání srovnatelných produktů (co do základních parametrů) jednotlivých dodavatelů, předpokládáme ale, že nově zavedený certifikační mechanismus by měl tuto objektivizaci srovnání zajistit. V případě požadavků na </w:t>
      </w:r>
      <w:r w:rsidR="006E3683" w:rsidRPr="00766112">
        <w:rPr>
          <w:rFonts w:ascii="Arial" w:hAnsi="Arial" w:cs="Arial"/>
          <w:sz w:val="24"/>
          <w:szCs w:val="24"/>
        </w:rPr>
        <w:t xml:space="preserve">informace, které by mělo obsahovat </w:t>
      </w:r>
      <w:r w:rsidR="00662816" w:rsidRPr="00766112">
        <w:rPr>
          <w:rFonts w:ascii="Arial" w:hAnsi="Arial" w:cs="Arial"/>
          <w:sz w:val="24"/>
          <w:szCs w:val="24"/>
        </w:rPr>
        <w:t>vyúčtování</w:t>
      </w:r>
      <w:r w:rsidR="006E3683" w:rsidRPr="00766112">
        <w:rPr>
          <w:rFonts w:ascii="Arial" w:hAnsi="Arial" w:cs="Arial"/>
          <w:sz w:val="24"/>
          <w:szCs w:val="24"/>
        </w:rPr>
        <w:t>,</w:t>
      </w:r>
      <w:r w:rsidR="00662816" w:rsidRPr="00766112">
        <w:rPr>
          <w:rFonts w:ascii="Arial" w:hAnsi="Arial" w:cs="Arial"/>
          <w:sz w:val="24"/>
          <w:szCs w:val="24"/>
        </w:rPr>
        <w:t xml:space="preserve"> by měla být nalezena rovnováha mezi požadavkem na to, aby údaje ohledně spotřeby byly zákazníkům podány ve srozumitelné a jasné, ideálně stručné </w:t>
      </w:r>
      <w:r w:rsidR="00D61B15" w:rsidRPr="00766112">
        <w:rPr>
          <w:rFonts w:ascii="Arial" w:hAnsi="Arial" w:cs="Arial"/>
          <w:sz w:val="24"/>
          <w:szCs w:val="24"/>
        </w:rPr>
        <w:t xml:space="preserve">a co nejaktuálnější </w:t>
      </w:r>
      <w:r w:rsidR="00662816" w:rsidRPr="00766112">
        <w:rPr>
          <w:rFonts w:ascii="Arial" w:hAnsi="Arial" w:cs="Arial"/>
          <w:sz w:val="24"/>
          <w:szCs w:val="24"/>
        </w:rPr>
        <w:t xml:space="preserve">podobě, na druhé straně </w:t>
      </w:r>
      <w:r w:rsidR="00D61B15" w:rsidRPr="00766112">
        <w:rPr>
          <w:rFonts w:ascii="Arial" w:hAnsi="Arial" w:cs="Arial"/>
          <w:sz w:val="24"/>
          <w:szCs w:val="24"/>
        </w:rPr>
        <w:t>ve stanoveném minimálním</w:t>
      </w:r>
      <w:r w:rsidR="006E3683" w:rsidRPr="00766112">
        <w:rPr>
          <w:rFonts w:ascii="Arial" w:hAnsi="Arial" w:cs="Arial"/>
          <w:sz w:val="24"/>
          <w:szCs w:val="24"/>
        </w:rPr>
        <w:t xml:space="preserve"> rozsahu, </w:t>
      </w:r>
      <w:r w:rsidR="00D61B15" w:rsidRPr="00766112">
        <w:rPr>
          <w:rFonts w:ascii="Arial" w:hAnsi="Arial" w:cs="Arial"/>
          <w:sz w:val="24"/>
          <w:szCs w:val="24"/>
        </w:rPr>
        <w:t>přičemž</w:t>
      </w:r>
      <w:r w:rsidR="006E3683" w:rsidRPr="00766112">
        <w:rPr>
          <w:rFonts w:ascii="Arial" w:hAnsi="Arial" w:cs="Arial"/>
          <w:sz w:val="24"/>
          <w:szCs w:val="24"/>
        </w:rPr>
        <w:t xml:space="preserve"> výčet </w:t>
      </w:r>
      <w:r w:rsidR="00D61B15" w:rsidRPr="00766112">
        <w:rPr>
          <w:rFonts w:ascii="Arial" w:hAnsi="Arial" w:cs="Arial"/>
          <w:sz w:val="24"/>
          <w:szCs w:val="24"/>
        </w:rPr>
        <w:t xml:space="preserve">požadovaných informací </w:t>
      </w:r>
      <w:r w:rsidR="006E3683" w:rsidRPr="00766112">
        <w:rPr>
          <w:rFonts w:ascii="Arial" w:hAnsi="Arial" w:cs="Arial"/>
          <w:sz w:val="24"/>
          <w:szCs w:val="24"/>
        </w:rPr>
        <w:t>je</w:t>
      </w:r>
      <w:r w:rsidR="00662816" w:rsidRPr="00766112">
        <w:rPr>
          <w:rFonts w:ascii="Arial" w:hAnsi="Arial" w:cs="Arial"/>
          <w:sz w:val="24"/>
          <w:szCs w:val="24"/>
        </w:rPr>
        <w:t xml:space="preserve"> poměrně </w:t>
      </w:r>
      <w:r w:rsidR="006E3683" w:rsidRPr="00766112">
        <w:rPr>
          <w:rFonts w:ascii="Arial" w:hAnsi="Arial" w:cs="Arial"/>
          <w:sz w:val="24"/>
          <w:szCs w:val="24"/>
        </w:rPr>
        <w:t>rozsáhlý</w:t>
      </w:r>
      <w:r w:rsidR="00662816" w:rsidRPr="00766112">
        <w:rPr>
          <w:rFonts w:ascii="Arial" w:hAnsi="Arial" w:cs="Arial"/>
          <w:sz w:val="24"/>
          <w:szCs w:val="24"/>
        </w:rPr>
        <w:t xml:space="preserve"> (rozsah údajů by případně mohl být revidován s ohledem na požadavky </w:t>
      </w:r>
      <w:r w:rsidR="006E3683" w:rsidRPr="00766112">
        <w:rPr>
          <w:rFonts w:ascii="Arial" w:hAnsi="Arial" w:cs="Arial"/>
          <w:sz w:val="24"/>
          <w:szCs w:val="24"/>
        </w:rPr>
        <w:t xml:space="preserve">již </w:t>
      </w:r>
      <w:r w:rsidR="00662816" w:rsidRPr="00766112">
        <w:rPr>
          <w:rFonts w:ascii="Arial" w:hAnsi="Arial" w:cs="Arial"/>
          <w:sz w:val="24"/>
          <w:szCs w:val="24"/>
        </w:rPr>
        <w:t>stanovené např. unijními předpisy v oblasti ochrany spotřebitele, konkrétně směrnice 2011/83/EU).</w:t>
      </w:r>
      <w:r w:rsidRPr="00766112">
        <w:rPr>
          <w:rFonts w:ascii="Arial" w:hAnsi="Arial" w:cs="Arial"/>
          <w:sz w:val="24"/>
          <w:szCs w:val="24"/>
        </w:rPr>
        <w:t xml:space="preserve"> </w:t>
      </w:r>
      <w:r w:rsidR="006E3683" w:rsidRPr="00766112">
        <w:rPr>
          <w:rFonts w:ascii="Arial" w:hAnsi="Arial" w:cs="Arial"/>
          <w:sz w:val="24"/>
          <w:szCs w:val="24"/>
        </w:rPr>
        <w:t xml:space="preserve">Opět připomínáme, že by měla být stanovena dostatečně dlouhá doba na adaptaci na nové požadavky, neboť změny většinou </w:t>
      </w:r>
      <w:r w:rsidR="00D61B15" w:rsidRPr="00766112">
        <w:rPr>
          <w:rFonts w:ascii="Arial" w:hAnsi="Arial" w:cs="Arial"/>
          <w:sz w:val="24"/>
          <w:szCs w:val="24"/>
        </w:rPr>
        <w:t>vyžadují rovněž úpravu systémů dotčených účastníků trhu.</w:t>
      </w:r>
      <w:r w:rsidR="007D3D7E" w:rsidRPr="00766112">
        <w:rPr>
          <w:rFonts w:ascii="Arial" w:hAnsi="Arial" w:cs="Arial"/>
          <w:sz w:val="24"/>
          <w:szCs w:val="24"/>
        </w:rPr>
        <w:t xml:space="preserve"> </w:t>
      </w:r>
      <w:r w:rsidR="00D61B15" w:rsidRPr="00766112">
        <w:rPr>
          <w:rFonts w:ascii="Arial" w:hAnsi="Arial" w:cs="Arial"/>
          <w:sz w:val="24"/>
          <w:szCs w:val="24"/>
        </w:rPr>
        <w:t xml:space="preserve">Ve vztahu k zavádění chytrých </w:t>
      </w:r>
      <w:proofErr w:type="spellStart"/>
      <w:r w:rsidR="00D61B15" w:rsidRPr="00766112">
        <w:rPr>
          <w:rFonts w:ascii="Arial" w:hAnsi="Arial" w:cs="Arial"/>
          <w:sz w:val="24"/>
          <w:szCs w:val="24"/>
        </w:rPr>
        <w:t>měřáků</w:t>
      </w:r>
      <w:proofErr w:type="spellEnd"/>
      <w:r w:rsidR="00D61B15" w:rsidRPr="00766112">
        <w:rPr>
          <w:rFonts w:ascii="Arial" w:hAnsi="Arial" w:cs="Arial"/>
          <w:sz w:val="24"/>
          <w:szCs w:val="24"/>
        </w:rPr>
        <w:t xml:space="preserve"> vítáme ponechání stávajícího přístupu k jejich zavádění.</w:t>
      </w:r>
    </w:p>
    <w:p w:rsidR="00FA3D05" w:rsidRPr="00766112" w:rsidRDefault="00FA3D05" w:rsidP="0038082D">
      <w:pPr>
        <w:jc w:val="both"/>
        <w:rPr>
          <w:rFonts w:ascii="Arial" w:hAnsi="Arial" w:cs="Arial"/>
          <w:sz w:val="24"/>
          <w:szCs w:val="24"/>
        </w:rPr>
      </w:pPr>
      <w:r w:rsidRPr="00766112">
        <w:rPr>
          <w:rFonts w:ascii="Arial" w:hAnsi="Arial" w:cs="Arial"/>
          <w:sz w:val="24"/>
          <w:szCs w:val="24"/>
        </w:rPr>
        <w:t>Podporujeme aktivizaci zákazníků v rámci nového designu trhu s elektřinou, nicméně dodávkové smlouvy založené na spotových cenách (</w:t>
      </w:r>
      <w:proofErr w:type="spellStart"/>
      <w:r w:rsidRPr="00766112">
        <w:rPr>
          <w:rFonts w:ascii="Arial" w:hAnsi="Arial" w:cs="Arial"/>
          <w:sz w:val="24"/>
          <w:szCs w:val="24"/>
        </w:rPr>
        <w:t>dynamic</w:t>
      </w:r>
      <w:proofErr w:type="spellEnd"/>
      <w:r w:rsidRPr="00766112">
        <w:rPr>
          <w:rFonts w:ascii="Arial" w:hAnsi="Arial" w:cs="Arial"/>
          <w:sz w:val="24"/>
          <w:szCs w:val="24"/>
        </w:rPr>
        <w:t xml:space="preserve"> </w:t>
      </w:r>
      <w:proofErr w:type="spellStart"/>
      <w:r w:rsidRPr="00766112">
        <w:rPr>
          <w:rFonts w:ascii="Arial" w:hAnsi="Arial" w:cs="Arial"/>
          <w:sz w:val="24"/>
          <w:szCs w:val="24"/>
        </w:rPr>
        <w:t>price</w:t>
      </w:r>
      <w:proofErr w:type="spellEnd"/>
      <w:r w:rsidRPr="00766112">
        <w:rPr>
          <w:rFonts w:ascii="Arial" w:hAnsi="Arial" w:cs="Arial"/>
          <w:sz w:val="24"/>
          <w:szCs w:val="24"/>
        </w:rPr>
        <w:t xml:space="preserve"> </w:t>
      </w:r>
      <w:proofErr w:type="spellStart"/>
      <w:r w:rsidRPr="00766112">
        <w:rPr>
          <w:rFonts w:ascii="Arial" w:hAnsi="Arial" w:cs="Arial"/>
          <w:sz w:val="24"/>
          <w:szCs w:val="24"/>
        </w:rPr>
        <w:t>contracts</w:t>
      </w:r>
      <w:proofErr w:type="spellEnd"/>
      <w:r w:rsidRPr="00766112">
        <w:rPr>
          <w:rFonts w:ascii="Arial" w:hAnsi="Arial" w:cs="Arial"/>
          <w:sz w:val="24"/>
          <w:szCs w:val="24"/>
        </w:rPr>
        <w:t xml:space="preserve">) či </w:t>
      </w:r>
      <w:r w:rsidR="00B53C45" w:rsidRPr="00766112">
        <w:rPr>
          <w:rFonts w:ascii="Arial" w:hAnsi="Arial" w:cs="Arial"/>
          <w:sz w:val="24"/>
          <w:szCs w:val="24"/>
        </w:rPr>
        <w:t xml:space="preserve">aktivní </w:t>
      </w:r>
      <w:r w:rsidRPr="00766112">
        <w:rPr>
          <w:rFonts w:ascii="Arial" w:hAnsi="Arial" w:cs="Arial"/>
          <w:sz w:val="24"/>
          <w:szCs w:val="24"/>
        </w:rPr>
        <w:t>účast na mechanismu odezvy na straně spotřeby (</w:t>
      </w:r>
      <w:proofErr w:type="spellStart"/>
      <w:r w:rsidRPr="00766112">
        <w:rPr>
          <w:rFonts w:ascii="Arial" w:hAnsi="Arial" w:cs="Arial"/>
          <w:sz w:val="24"/>
          <w:szCs w:val="24"/>
        </w:rPr>
        <w:t>demand</w:t>
      </w:r>
      <w:proofErr w:type="spellEnd"/>
      <w:r w:rsidRPr="00766112">
        <w:rPr>
          <w:rFonts w:ascii="Arial" w:hAnsi="Arial" w:cs="Arial"/>
          <w:sz w:val="24"/>
          <w:szCs w:val="24"/>
        </w:rPr>
        <w:t xml:space="preserve"> </w:t>
      </w:r>
      <w:proofErr w:type="spellStart"/>
      <w:r w:rsidRPr="00766112">
        <w:rPr>
          <w:rFonts w:ascii="Arial" w:hAnsi="Arial" w:cs="Arial"/>
          <w:sz w:val="24"/>
          <w:szCs w:val="24"/>
        </w:rPr>
        <w:t>side</w:t>
      </w:r>
      <w:proofErr w:type="spellEnd"/>
      <w:r w:rsidRPr="00766112">
        <w:rPr>
          <w:rFonts w:ascii="Arial" w:hAnsi="Arial" w:cs="Arial"/>
          <w:sz w:val="24"/>
          <w:szCs w:val="24"/>
        </w:rPr>
        <w:t xml:space="preserve"> response) vnímáme v této fázi jako </w:t>
      </w:r>
      <w:r w:rsidR="00B53C45" w:rsidRPr="00766112">
        <w:rPr>
          <w:rFonts w:ascii="Arial" w:hAnsi="Arial" w:cs="Arial"/>
          <w:sz w:val="24"/>
          <w:szCs w:val="24"/>
        </w:rPr>
        <w:t>záležitosti velkoobchodního trh</w:t>
      </w:r>
      <w:r w:rsidR="00CD5681" w:rsidRPr="00766112">
        <w:rPr>
          <w:rFonts w:ascii="Arial" w:hAnsi="Arial" w:cs="Arial"/>
          <w:sz w:val="24"/>
          <w:szCs w:val="24"/>
        </w:rPr>
        <w:t>u</w:t>
      </w:r>
      <w:r w:rsidR="00B53C45" w:rsidRPr="00766112">
        <w:rPr>
          <w:rFonts w:ascii="Arial" w:hAnsi="Arial" w:cs="Arial"/>
          <w:sz w:val="24"/>
          <w:szCs w:val="24"/>
        </w:rPr>
        <w:t xml:space="preserve"> než trhu </w:t>
      </w:r>
      <w:proofErr w:type="spellStart"/>
      <w:r w:rsidR="00B53C45" w:rsidRPr="00766112">
        <w:rPr>
          <w:rFonts w:ascii="Arial" w:hAnsi="Arial" w:cs="Arial"/>
          <w:sz w:val="24"/>
          <w:szCs w:val="24"/>
        </w:rPr>
        <w:t>retailového</w:t>
      </w:r>
      <w:proofErr w:type="spellEnd"/>
      <w:r w:rsidR="00B53C45" w:rsidRPr="00766112">
        <w:rPr>
          <w:rFonts w:ascii="Arial" w:hAnsi="Arial" w:cs="Arial"/>
          <w:sz w:val="24"/>
          <w:szCs w:val="24"/>
        </w:rPr>
        <w:t>. Aktivnější zapojení zákazníků na mechanismu odezvy na straně nabídky navíc vyžaduje jednoznačnou identifikaci ekonomických pobídek pro tyto zákazníky.</w:t>
      </w:r>
    </w:p>
    <w:p w:rsidR="00B53C45" w:rsidRPr="00766112" w:rsidRDefault="00B53C45" w:rsidP="0038082D">
      <w:pPr>
        <w:jc w:val="both"/>
        <w:rPr>
          <w:rFonts w:ascii="Arial" w:hAnsi="Arial" w:cs="Arial"/>
          <w:sz w:val="24"/>
          <w:szCs w:val="24"/>
        </w:rPr>
      </w:pPr>
      <w:r w:rsidRPr="00766112">
        <w:rPr>
          <w:rFonts w:ascii="Arial" w:hAnsi="Arial" w:cs="Arial"/>
          <w:sz w:val="24"/>
          <w:szCs w:val="24"/>
        </w:rPr>
        <w:t xml:space="preserve">Rozsáhlé změny věnující se nakládání s daty (ať již pro účely řízení provozu soustavy či pro jiné, komerční účely) jsou záležitostí </w:t>
      </w:r>
      <w:proofErr w:type="spellStart"/>
      <w:r w:rsidRPr="00766112">
        <w:rPr>
          <w:rFonts w:ascii="Arial" w:hAnsi="Arial" w:cs="Arial"/>
          <w:sz w:val="24"/>
          <w:szCs w:val="24"/>
        </w:rPr>
        <w:t>mezisektorovou</w:t>
      </w:r>
      <w:proofErr w:type="spellEnd"/>
      <w:r w:rsidRPr="00766112">
        <w:rPr>
          <w:rFonts w:ascii="Arial" w:hAnsi="Arial" w:cs="Arial"/>
          <w:sz w:val="24"/>
          <w:szCs w:val="24"/>
        </w:rPr>
        <w:t xml:space="preserve">. I v tomto případě by měly být zohledněny stávající národní specifika a k harmonizaci na unijní úrovni by mělo docházet až v případě identifikace jejich jednoznačných přínosů, které převažují nad náklady s tím spojenými. Zároveň by důraz měl být kladen na </w:t>
      </w:r>
      <w:r w:rsidRPr="00766112">
        <w:rPr>
          <w:rFonts w:ascii="Arial" w:hAnsi="Arial" w:cs="Arial"/>
          <w:sz w:val="24"/>
          <w:szCs w:val="24"/>
        </w:rPr>
        <w:lastRenderedPageBreak/>
        <w:t>respektování pravidel na ochranu osobních údajů. Zákazníci by měli mít právo vědět o tom, kdo nakládá s jejich údaji</w:t>
      </w:r>
      <w:r w:rsidR="00803A4B" w:rsidRPr="00766112">
        <w:rPr>
          <w:rFonts w:ascii="Arial" w:hAnsi="Arial" w:cs="Arial"/>
          <w:sz w:val="24"/>
          <w:szCs w:val="24"/>
        </w:rPr>
        <w:t xml:space="preserve"> či daty</w:t>
      </w:r>
      <w:r w:rsidRPr="00766112">
        <w:rPr>
          <w:rFonts w:ascii="Arial" w:hAnsi="Arial" w:cs="Arial"/>
          <w:sz w:val="24"/>
          <w:szCs w:val="24"/>
        </w:rPr>
        <w:t xml:space="preserve">, nicméně v případě jejich souhlasu není důvod omezovat poskytování těchto dat např. </w:t>
      </w:r>
      <w:r w:rsidR="00803A4B" w:rsidRPr="00766112">
        <w:rPr>
          <w:rFonts w:ascii="Arial" w:hAnsi="Arial" w:cs="Arial"/>
          <w:sz w:val="24"/>
          <w:szCs w:val="24"/>
        </w:rPr>
        <w:t xml:space="preserve">jejich </w:t>
      </w:r>
      <w:r w:rsidRPr="00766112">
        <w:rPr>
          <w:rFonts w:ascii="Arial" w:hAnsi="Arial" w:cs="Arial"/>
          <w:sz w:val="24"/>
          <w:szCs w:val="24"/>
        </w:rPr>
        <w:t>dodavatel</w:t>
      </w:r>
      <w:r w:rsidR="00803A4B" w:rsidRPr="00766112">
        <w:rPr>
          <w:rFonts w:ascii="Arial" w:hAnsi="Arial" w:cs="Arial"/>
          <w:sz w:val="24"/>
          <w:szCs w:val="24"/>
        </w:rPr>
        <w:t>i</w:t>
      </w:r>
      <w:r w:rsidRPr="00766112">
        <w:rPr>
          <w:rFonts w:ascii="Arial" w:hAnsi="Arial" w:cs="Arial"/>
          <w:sz w:val="24"/>
          <w:szCs w:val="24"/>
        </w:rPr>
        <w:t xml:space="preserve"> elektřiny</w:t>
      </w:r>
      <w:r w:rsidR="00803A4B" w:rsidRPr="00766112">
        <w:rPr>
          <w:rFonts w:ascii="Arial" w:hAnsi="Arial" w:cs="Arial"/>
          <w:sz w:val="24"/>
          <w:szCs w:val="24"/>
        </w:rPr>
        <w:t xml:space="preserve"> za účelem rozšíření nabídky inovativních energetických služeb</w:t>
      </w:r>
      <w:r w:rsidRPr="00766112">
        <w:rPr>
          <w:rFonts w:ascii="Arial" w:hAnsi="Arial" w:cs="Arial"/>
          <w:sz w:val="24"/>
          <w:szCs w:val="24"/>
        </w:rPr>
        <w:t>.</w:t>
      </w:r>
    </w:p>
    <w:p w:rsidR="001E1E58" w:rsidRPr="00766112" w:rsidRDefault="001E1E58" w:rsidP="0038082D">
      <w:pPr>
        <w:jc w:val="both"/>
        <w:rPr>
          <w:rFonts w:ascii="Arial" w:hAnsi="Arial" w:cs="Arial"/>
          <w:sz w:val="24"/>
          <w:szCs w:val="24"/>
          <w:u w:val="single"/>
        </w:rPr>
      </w:pPr>
    </w:p>
    <w:p w:rsidR="007D3D7E" w:rsidRPr="00E94049" w:rsidRDefault="007D3D7E" w:rsidP="00AE71EB">
      <w:pPr>
        <w:keepNext/>
        <w:jc w:val="both"/>
        <w:rPr>
          <w:rFonts w:ascii="Arial" w:hAnsi="Arial" w:cs="Arial"/>
          <w:sz w:val="24"/>
          <w:szCs w:val="24"/>
          <w:u w:val="single"/>
        </w:rPr>
      </w:pPr>
      <w:r w:rsidRPr="00E94049">
        <w:rPr>
          <w:rFonts w:ascii="Arial" w:hAnsi="Arial" w:cs="Arial"/>
          <w:sz w:val="24"/>
          <w:szCs w:val="24"/>
          <w:u w:val="single"/>
        </w:rPr>
        <w:t>Distribuce</w:t>
      </w:r>
    </w:p>
    <w:p w:rsidR="001E1E58" w:rsidRPr="00766112" w:rsidRDefault="001E1E58" w:rsidP="0038082D">
      <w:pPr>
        <w:jc w:val="both"/>
        <w:rPr>
          <w:rFonts w:ascii="Arial" w:hAnsi="Arial" w:cs="Arial"/>
          <w:sz w:val="24"/>
          <w:szCs w:val="24"/>
        </w:rPr>
      </w:pPr>
      <w:r w:rsidRPr="00766112">
        <w:rPr>
          <w:rFonts w:ascii="Arial" w:hAnsi="Arial" w:cs="Arial"/>
          <w:sz w:val="24"/>
          <w:szCs w:val="24"/>
        </w:rPr>
        <w:t>V souladu s novými trendy v odvětví elektroenergetiky návrhy upravují rovněž postavení provozovatelů distribučních soustav (dále jen „</w:t>
      </w:r>
      <w:proofErr w:type="spellStart"/>
      <w:r w:rsidRPr="00766112">
        <w:rPr>
          <w:rFonts w:ascii="Arial" w:hAnsi="Arial" w:cs="Arial"/>
          <w:sz w:val="24"/>
          <w:szCs w:val="24"/>
        </w:rPr>
        <w:t>PDS</w:t>
      </w:r>
      <w:proofErr w:type="spellEnd"/>
      <w:r w:rsidRPr="00766112">
        <w:rPr>
          <w:rFonts w:ascii="Arial" w:hAnsi="Arial" w:cs="Arial"/>
          <w:sz w:val="24"/>
          <w:szCs w:val="24"/>
        </w:rPr>
        <w:t xml:space="preserve">“), zejména jejich povinnosti ve vztahu k větší integraci </w:t>
      </w:r>
      <w:proofErr w:type="spellStart"/>
      <w:r w:rsidRPr="00766112">
        <w:rPr>
          <w:rFonts w:ascii="Arial" w:hAnsi="Arial" w:cs="Arial"/>
          <w:sz w:val="24"/>
          <w:szCs w:val="24"/>
        </w:rPr>
        <w:t>OZE</w:t>
      </w:r>
      <w:proofErr w:type="spellEnd"/>
      <w:r w:rsidRPr="00766112">
        <w:rPr>
          <w:rFonts w:ascii="Arial" w:hAnsi="Arial" w:cs="Arial"/>
          <w:sz w:val="24"/>
          <w:szCs w:val="24"/>
        </w:rPr>
        <w:t xml:space="preserve"> (vč. </w:t>
      </w:r>
      <w:proofErr w:type="spellStart"/>
      <w:r w:rsidRPr="00766112">
        <w:rPr>
          <w:rFonts w:ascii="Arial" w:hAnsi="Arial" w:cs="Arial"/>
          <w:sz w:val="24"/>
          <w:szCs w:val="24"/>
        </w:rPr>
        <w:t>decentrální</w:t>
      </w:r>
      <w:proofErr w:type="spellEnd"/>
      <w:r w:rsidRPr="00766112">
        <w:rPr>
          <w:rFonts w:ascii="Arial" w:hAnsi="Arial" w:cs="Arial"/>
          <w:sz w:val="24"/>
          <w:szCs w:val="24"/>
        </w:rPr>
        <w:t xml:space="preserve"> výroby elektřiny) či řízení flexibility na lokální úrovni. Jednoznačně podporujeme utvrzení role </w:t>
      </w:r>
      <w:proofErr w:type="spellStart"/>
      <w:r w:rsidRPr="00766112">
        <w:rPr>
          <w:rFonts w:ascii="Arial" w:hAnsi="Arial" w:cs="Arial"/>
          <w:sz w:val="24"/>
          <w:szCs w:val="24"/>
        </w:rPr>
        <w:t>PDS</w:t>
      </w:r>
      <w:proofErr w:type="spellEnd"/>
      <w:r w:rsidRPr="00766112">
        <w:rPr>
          <w:rFonts w:ascii="Arial" w:hAnsi="Arial" w:cs="Arial"/>
          <w:sz w:val="24"/>
          <w:szCs w:val="24"/>
        </w:rPr>
        <w:t xml:space="preserve"> jako neutrálních „</w:t>
      </w:r>
      <w:proofErr w:type="spellStart"/>
      <w:r w:rsidRPr="00766112">
        <w:rPr>
          <w:rFonts w:ascii="Arial" w:hAnsi="Arial" w:cs="Arial"/>
          <w:sz w:val="24"/>
          <w:szCs w:val="24"/>
        </w:rPr>
        <w:t>facilitátorů</w:t>
      </w:r>
      <w:proofErr w:type="spellEnd"/>
      <w:r w:rsidRPr="00766112">
        <w:rPr>
          <w:rFonts w:ascii="Arial" w:hAnsi="Arial" w:cs="Arial"/>
          <w:sz w:val="24"/>
          <w:szCs w:val="24"/>
        </w:rPr>
        <w:t xml:space="preserve">“ co do nakládání s daty ve vztahu k ostatním účastníkům trhu s elektřinou. </w:t>
      </w:r>
    </w:p>
    <w:p w:rsidR="00DC3C55" w:rsidRPr="00766112" w:rsidRDefault="001E1E58" w:rsidP="0038082D">
      <w:pPr>
        <w:jc w:val="both"/>
        <w:rPr>
          <w:rFonts w:ascii="Arial" w:hAnsi="Arial" w:cs="Arial"/>
          <w:sz w:val="24"/>
          <w:szCs w:val="24"/>
        </w:rPr>
      </w:pPr>
      <w:r w:rsidRPr="00766112">
        <w:rPr>
          <w:rFonts w:ascii="Arial" w:hAnsi="Arial" w:cs="Arial"/>
          <w:sz w:val="24"/>
          <w:szCs w:val="24"/>
        </w:rPr>
        <w:t xml:space="preserve">Posílené role </w:t>
      </w:r>
      <w:proofErr w:type="spellStart"/>
      <w:r w:rsidRPr="00766112">
        <w:rPr>
          <w:rFonts w:ascii="Arial" w:hAnsi="Arial" w:cs="Arial"/>
          <w:sz w:val="24"/>
          <w:szCs w:val="24"/>
        </w:rPr>
        <w:t>PDS</w:t>
      </w:r>
      <w:proofErr w:type="spellEnd"/>
      <w:r w:rsidRPr="00766112">
        <w:rPr>
          <w:rFonts w:ascii="Arial" w:hAnsi="Arial" w:cs="Arial"/>
          <w:sz w:val="24"/>
          <w:szCs w:val="24"/>
        </w:rPr>
        <w:t xml:space="preserve"> na nadnárodní úrovni (vytvoření entity EU </w:t>
      </w:r>
      <w:proofErr w:type="spellStart"/>
      <w:r w:rsidRPr="00766112">
        <w:rPr>
          <w:rFonts w:ascii="Arial" w:hAnsi="Arial" w:cs="Arial"/>
          <w:sz w:val="24"/>
          <w:szCs w:val="24"/>
        </w:rPr>
        <w:t>DSO</w:t>
      </w:r>
      <w:proofErr w:type="spellEnd"/>
      <w:r w:rsidRPr="00766112">
        <w:rPr>
          <w:rFonts w:ascii="Arial" w:hAnsi="Arial" w:cs="Arial"/>
          <w:sz w:val="24"/>
          <w:szCs w:val="24"/>
        </w:rPr>
        <w:t xml:space="preserve">) vnímáme jako krok směrem k postupné unijní harmonizaci některých požadavků dopadajících na </w:t>
      </w:r>
      <w:proofErr w:type="spellStart"/>
      <w:r w:rsidRPr="00766112">
        <w:rPr>
          <w:rFonts w:ascii="Arial" w:hAnsi="Arial" w:cs="Arial"/>
          <w:sz w:val="24"/>
          <w:szCs w:val="24"/>
        </w:rPr>
        <w:t>PDS</w:t>
      </w:r>
      <w:proofErr w:type="spellEnd"/>
      <w:r w:rsidRPr="00766112">
        <w:rPr>
          <w:rFonts w:ascii="Arial" w:hAnsi="Arial" w:cs="Arial"/>
          <w:sz w:val="24"/>
          <w:szCs w:val="24"/>
        </w:rPr>
        <w:t xml:space="preserve"> do budoucna. Měl</w:t>
      </w:r>
      <w:r w:rsidR="00DC3C55" w:rsidRPr="00766112">
        <w:rPr>
          <w:rFonts w:ascii="Arial" w:hAnsi="Arial" w:cs="Arial"/>
          <w:sz w:val="24"/>
          <w:szCs w:val="24"/>
        </w:rPr>
        <w:t>a by být ale upřesněna pravidla pro (povinné či dobrovolné) vytvoření této entity na unijní úrovni či úkoly této nadnárodní entity co do povinnosti či dobrovolného přijímání jednotných pravidel na unijní úrovni prostřednictvím kodexů sítě.</w:t>
      </w:r>
    </w:p>
    <w:p w:rsidR="001B35AB" w:rsidRPr="00766112" w:rsidRDefault="001B35AB" w:rsidP="0038082D">
      <w:pPr>
        <w:jc w:val="both"/>
        <w:rPr>
          <w:rFonts w:ascii="Arial" w:hAnsi="Arial" w:cs="Arial"/>
          <w:sz w:val="24"/>
          <w:szCs w:val="24"/>
        </w:rPr>
      </w:pPr>
    </w:p>
    <w:p w:rsidR="007C2C72" w:rsidRPr="00766112" w:rsidRDefault="007C2C72" w:rsidP="0038082D">
      <w:pPr>
        <w:jc w:val="both"/>
        <w:rPr>
          <w:rFonts w:ascii="Arial" w:hAnsi="Arial" w:cs="Arial"/>
          <w:sz w:val="24"/>
          <w:szCs w:val="24"/>
        </w:rPr>
      </w:pPr>
      <w:r w:rsidRPr="00766112">
        <w:rPr>
          <w:rFonts w:ascii="Arial" w:hAnsi="Arial" w:cs="Arial"/>
          <w:sz w:val="24"/>
          <w:szCs w:val="24"/>
        </w:rPr>
        <w:t xml:space="preserve">Přestože předložené návrhy se zabývají </w:t>
      </w:r>
      <w:proofErr w:type="spellStart"/>
      <w:r w:rsidR="007C1DA5" w:rsidRPr="00766112">
        <w:rPr>
          <w:rFonts w:ascii="Arial" w:hAnsi="Arial" w:cs="Arial"/>
          <w:sz w:val="24"/>
          <w:szCs w:val="24"/>
        </w:rPr>
        <w:t>elektroenergetik</w:t>
      </w:r>
      <w:r w:rsidRPr="00766112">
        <w:rPr>
          <w:rFonts w:ascii="Arial" w:hAnsi="Arial" w:cs="Arial"/>
          <w:sz w:val="24"/>
          <w:szCs w:val="24"/>
        </w:rPr>
        <w:t>ou</w:t>
      </w:r>
      <w:proofErr w:type="spellEnd"/>
      <w:r w:rsidRPr="00766112">
        <w:rPr>
          <w:rFonts w:ascii="Arial" w:hAnsi="Arial" w:cs="Arial"/>
          <w:sz w:val="24"/>
          <w:szCs w:val="24"/>
        </w:rPr>
        <w:t xml:space="preserve">, je škoda, že zcela opomíjejí plynárenský sektor a s ním spojené synergie. Nijak nejsou zmíněny technologie, které mohou přispět k lepšímu fungování energetických trhů, jako např. technologie </w:t>
      </w:r>
      <w:proofErr w:type="spellStart"/>
      <w:r w:rsidRPr="00766112">
        <w:rPr>
          <w:rFonts w:ascii="Arial" w:hAnsi="Arial" w:cs="Arial"/>
          <w:sz w:val="24"/>
          <w:szCs w:val="24"/>
        </w:rPr>
        <w:t>power</w:t>
      </w:r>
      <w:proofErr w:type="spellEnd"/>
      <w:r w:rsidRPr="00766112">
        <w:rPr>
          <w:rFonts w:ascii="Arial" w:hAnsi="Arial" w:cs="Arial"/>
          <w:sz w:val="24"/>
          <w:szCs w:val="24"/>
        </w:rPr>
        <w:t>-to-</w:t>
      </w:r>
      <w:proofErr w:type="spellStart"/>
      <w:r w:rsidRPr="00766112">
        <w:rPr>
          <w:rFonts w:ascii="Arial" w:hAnsi="Arial" w:cs="Arial"/>
          <w:sz w:val="24"/>
          <w:szCs w:val="24"/>
        </w:rPr>
        <w:t>gas</w:t>
      </w:r>
      <w:proofErr w:type="spellEnd"/>
      <w:r w:rsidRPr="00766112">
        <w:rPr>
          <w:rFonts w:ascii="Arial" w:hAnsi="Arial" w:cs="Arial"/>
          <w:sz w:val="24"/>
          <w:szCs w:val="24"/>
        </w:rPr>
        <w:t xml:space="preserve"> umožňující uložení přebytků elektřiny z </w:t>
      </w:r>
      <w:proofErr w:type="spellStart"/>
      <w:r w:rsidRPr="00766112">
        <w:rPr>
          <w:rFonts w:ascii="Arial" w:hAnsi="Arial" w:cs="Arial"/>
          <w:sz w:val="24"/>
          <w:szCs w:val="24"/>
        </w:rPr>
        <w:t>OZE</w:t>
      </w:r>
      <w:proofErr w:type="spellEnd"/>
      <w:r w:rsidRPr="00766112">
        <w:rPr>
          <w:rFonts w:ascii="Arial" w:hAnsi="Arial" w:cs="Arial"/>
          <w:sz w:val="24"/>
          <w:szCs w:val="24"/>
        </w:rPr>
        <w:t xml:space="preserve"> ve formě syntetického plynu nebo plynové </w:t>
      </w:r>
      <w:proofErr w:type="spellStart"/>
      <w:r w:rsidRPr="00766112">
        <w:rPr>
          <w:rFonts w:ascii="Arial" w:hAnsi="Arial" w:cs="Arial"/>
          <w:sz w:val="24"/>
          <w:szCs w:val="24"/>
        </w:rPr>
        <w:t>mikrokogenerace</w:t>
      </w:r>
      <w:proofErr w:type="spellEnd"/>
      <w:r w:rsidRPr="00766112">
        <w:rPr>
          <w:rFonts w:ascii="Arial" w:hAnsi="Arial" w:cs="Arial"/>
          <w:sz w:val="24"/>
          <w:szCs w:val="24"/>
        </w:rPr>
        <w:t xml:space="preserve">, využití plynových palivových článků, popř. necentrální výrobu elektřiny z plynové </w:t>
      </w:r>
      <w:proofErr w:type="spellStart"/>
      <w:r w:rsidRPr="00766112">
        <w:rPr>
          <w:rFonts w:ascii="Arial" w:hAnsi="Arial" w:cs="Arial"/>
          <w:sz w:val="24"/>
          <w:szCs w:val="24"/>
        </w:rPr>
        <w:t>kogenerace</w:t>
      </w:r>
      <w:proofErr w:type="spellEnd"/>
      <w:r w:rsidRPr="00766112">
        <w:rPr>
          <w:rFonts w:ascii="Arial" w:hAnsi="Arial" w:cs="Arial"/>
          <w:sz w:val="24"/>
          <w:szCs w:val="24"/>
        </w:rPr>
        <w:t>.</w:t>
      </w:r>
    </w:p>
    <w:p w:rsidR="001B35AB" w:rsidRDefault="001B35AB" w:rsidP="0038082D">
      <w:pPr>
        <w:jc w:val="both"/>
        <w:rPr>
          <w:rFonts w:ascii="Arial" w:hAnsi="Arial" w:cs="Arial"/>
          <w:sz w:val="24"/>
          <w:szCs w:val="24"/>
        </w:rPr>
      </w:pPr>
    </w:p>
    <w:p w:rsidR="00584CCC" w:rsidRDefault="00584CCC" w:rsidP="0038082D">
      <w:pPr>
        <w:jc w:val="both"/>
        <w:rPr>
          <w:rFonts w:ascii="Arial" w:hAnsi="Arial" w:cs="Arial"/>
          <w:sz w:val="24"/>
          <w:szCs w:val="24"/>
        </w:rPr>
      </w:pPr>
    </w:p>
    <w:p w:rsidR="00584CCC" w:rsidRPr="00766112" w:rsidRDefault="00584CCC" w:rsidP="0038082D">
      <w:pPr>
        <w:jc w:val="both"/>
        <w:rPr>
          <w:rFonts w:ascii="Arial" w:hAnsi="Arial" w:cs="Arial"/>
          <w:sz w:val="24"/>
          <w:szCs w:val="24"/>
        </w:rPr>
      </w:pPr>
    </w:p>
    <w:p w:rsidR="00E2298A" w:rsidRPr="00766112" w:rsidRDefault="00E2298A" w:rsidP="00E94049">
      <w:pPr>
        <w:pStyle w:val="Odstavecseseznamem"/>
        <w:numPr>
          <w:ilvl w:val="0"/>
          <w:numId w:val="5"/>
        </w:numPr>
        <w:tabs>
          <w:tab w:val="left" w:pos="426"/>
        </w:tabs>
        <w:ind w:left="426" w:hanging="426"/>
        <w:jc w:val="both"/>
        <w:rPr>
          <w:rFonts w:ascii="Arial" w:hAnsi="Arial" w:cs="Arial"/>
          <w:b/>
          <w:bCs/>
          <w:sz w:val="24"/>
        </w:rPr>
      </w:pPr>
      <w:r w:rsidRPr="00766112">
        <w:rPr>
          <w:rFonts w:ascii="Arial" w:hAnsi="Arial" w:cs="Arial"/>
          <w:b/>
          <w:bCs/>
          <w:sz w:val="24"/>
        </w:rPr>
        <w:t xml:space="preserve">Systém </w:t>
      </w:r>
      <w:r w:rsidR="00816FFA">
        <w:rPr>
          <w:rFonts w:ascii="Arial" w:hAnsi="Arial" w:cs="Arial"/>
          <w:b/>
          <w:bCs/>
          <w:sz w:val="24"/>
        </w:rPr>
        <w:t>řízení</w:t>
      </w:r>
      <w:r w:rsidR="00816FFA" w:rsidRPr="00766112">
        <w:rPr>
          <w:rFonts w:ascii="Arial" w:hAnsi="Arial" w:cs="Arial"/>
          <w:b/>
          <w:bCs/>
          <w:sz w:val="24"/>
        </w:rPr>
        <w:t xml:space="preserve"> </w:t>
      </w:r>
      <w:r w:rsidRPr="00766112">
        <w:rPr>
          <w:rFonts w:ascii="Arial" w:hAnsi="Arial" w:cs="Arial"/>
          <w:b/>
          <w:bCs/>
          <w:sz w:val="24"/>
        </w:rPr>
        <w:t>Energetické unie</w:t>
      </w:r>
    </w:p>
    <w:p w:rsidR="00E2298A" w:rsidRPr="00766112" w:rsidRDefault="00E2298A" w:rsidP="0038082D">
      <w:pPr>
        <w:jc w:val="both"/>
        <w:rPr>
          <w:rFonts w:ascii="Arial" w:hAnsi="Arial" w:cs="Arial"/>
          <w:sz w:val="24"/>
          <w:szCs w:val="24"/>
        </w:rPr>
      </w:pPr>
    </w:p>
    <w:p w:rsidR="00E2298A" w:rsidRPr="00766112" w:rsidRDefault="00E2298A" w:rsidP="0038082D">
      <w:pPr>
        <w:jc w:val="both"/>
        <w:rPr>
          <w:rFonts w:ascii="Arial" w:hAnsi="Arial" w:cs="Arial"/>
          <w:sz w:val="24"/>
          <w:szCs w:val="24"/>
        </w:rPr>
      </w:pPr>
      <w:r w:rsidRPr="00766112">
        <w:rPr>
          <w:rFonts w:ascii="Arial" w:hAnsi="Arial" w:cs="Arial"/>
          <w:sz w:val="24"/>
          <w:szCs w:val="24"/>
        </w:rPr>
        <w:t>Cílem nařízení je stanovení rámce pro:</w:t>
      </w:r>
    </w:p>
    <w:p w:rsidR="00E2298A" w:rsidRPr="00766112" w:rsidRDefault="00E2298A" w:rsidP="00584CCC">
      <w:pPr>
        <w:tabs>
          <w:tab w:val="left" w:pos="284"/>
        </w:tabs>
        <w:ind w:left="284" w:hanging="284"/>
        <w:jc w:val="both"/>
        <w:rPr>
          <w:rFonts w:ascii="Arial" w:hAnsi="Arial" w:cs="Arial"/>
          <w:sz w:val="24"/>
          <w:szCs w:val="24"/>
        </w:rPr>
      </w:pPr>
      <w:r w:rsidRPr="00766112">
        <w:rPr>
          <w:rFonts w:ascii="Arial" w:hAnsi="Arial" w:cs="Arial"/>
          <w:sz w:val="24"/>
          <w:szCs w:val="24"/>
        </w:rPr>
        <w:t>1. Zjednodušení a integraci stávajících povinností v </w:t>
      </w:r>
      <w:r w:rsidR="00584CCC">
        <w:rPr>
          <w:rFonts w:ascii="Arial" w:hAnsi="Arial" w:cs="Arial"/>
          <w:sz w:val="24"/>
          <w:szCs w:val="24"/>
        </w:rPr>
        <w:t>oblasti plánování, reportingu a </w:t>
      </w:r>
      <w:r w:rsidRPr="00766112">
        <w:rPr>
          <w:rFonts w:ascii="Arial" w:hAnsi="Arial" w:cs="Arial"/>
          <w:sz w:val="24"/>
          <w:szCs w:val="24"/>
        </w:rPr>
        <w:t xml:space="preserve">monitoringu </w:t>
      </w:r>
    </w:p>
    <w:p w:rsidR="00E2298A" w:rsidRPr="00766112" w:rsidRDefault="00E2298A" w:rsidP="00584CCC">
      <w:pPr>
        <w:tabs>
          <w:tab w:val="left" w:pos="284"/>
        </w:tabs>
        <w:ind w:left="284" w:hanging="284"/>
        <w:jc w:val="both"/>
        <w:rPr>
          <w:rFonts w:ascii="Arial" w:hAnsi="Arial" w:cs="Arial"/>
          <w:sz w:val="24"/>
          <w:szCs w:val="24"/>
        </w:rPr>
      </w:pPr>
      <w:r w:rsidRPr="00766112">
        <w:rPr>
          <w:rFonts w:ascii="Arial" w:hAnsi="Arial" w:cs="Arial"/>
          <w:sz w:val="24"/>
          <w:szCs w:val="24"/>
        </w:rPr>
        <w:t>2. Definování procesů mezi členskými státy a Komisí v zájmu dosažení cílů 2030.</w:t>
      </w:r>
    </w:p>
    <w:p w:rsidR="00E2298A" w:rsidRPr="00766112" w:rsidRDefault="00E2298A" w:rsidP="0038082D">
      <w:pPr>
        <w:jc w:val="both"/>
        <w:rPr>
          <w:rFonts w:ascii="Arial" w:hAnsi="Arial" w:cs="Arial"/>
          <w:sz w:val="24"/>
          <w:szCs w:val="24"/>
        </w:rPr>
      </w:pPr>
    </w:p>
    <w:p w:rsidR="00E2298A" w:rsidRPr="00766112" w:rsidRDefault="00E2298A" w:rsidP="0038082D">
      <w:pPr>
        <w:jc w:val="both"/>
        <w:rPr>
          <w:rFonts w:ascii="Arial" w:hAnsi="Arial" w:cs="Arial"/>
          <w:sz w:val="24"/>
          <w:szCs w:val="24"/>
        </w:rPr>
      </w:pPr>
      <w:r w:rsidRPr="00766112">
        <w:rPr>
          <w:rFonts w:ascii="Arial" w:hAnsi="Arial" w:cs="Arial"/>
          <w:sz w:val="24"/>
          <w:szCs w:val="24"/>
        </w:rPr>
        <w:t xml:space="preserve">Oceňujeme, že účelem pravidelného předkládání </w:t>
      </w:r>
      <w:r w:rsidR="00816FFA">
        <w:rPr>
          <w:rFonts w:ascii="Arial" w:hAnsi="Arial" w:cs="Arial"/>
          <w:sz w:val="24"/>
          <w:szCs w:val="24"/>
        </w:rPr>
        <w:t>I</w:t>
      </w:r>
      <w:r w:rsidRPr="00766112">
        <w:rPr>
          <w:rFonts w:ascii="Arial" w:hAnsi="Arial" w:cs="Arial"/>
          <w:sz w:val="24"/>
          <w:szCs w:val="24"/>
        </w:rPr>
        <w:t>ntegrovaného</w:t>
      </w:r>
      <w:r w:rsidR="00816FFA">
        <w:rPr>
          <w:rFonts w:ascii="Arial" w:hAnsi="Arial" w:cs="Arial"/>
          <w:sz w:val="24"/>
          <w:szCs w:val="24"/>
        </w:rPr>
        <w:t xml:space="preserve"> národního</w:t>
      </w:r>
      <w:r w:rsidRPr="00766112">
        <w:rPr>
          <w:rFonts w:ascii="Arial" w:hAnsi="Arial" w:cs="Arial"/>
          <w:sz w:val="24"/>
          <w:szCs w:val="24"/>
        </w:rPr>
        <w:t xml:space="preserve"> energetického a klimatického desetiletého plánu je mj. aktivní snaha o zamezování duplicitních zpráv, které mají členské státy ve vztahu k Energetické unii, povinnost předkládat. </w:t>
      </w:r>
    </w:p>
    <w:p w:rsidR="00E2298A" w:rsidRPr="00766112" w:rsidRDefault="00E2298A" w:rsidP="0038082D">
      <w:pPr>
        <w:jc w:val="both"/>
        <w:rPr>
          <w:rFonts w:ascii="Arial" w:hAnsi="Arial" w:cs="Arial"/>
          <w:sz w:val="24"/>
          <w:szCs w:val="24"/>
        </w:rPr>
      </w:pPr>
      <w:r w:rsidRPr="00766112">
        <w:rPr>
          <w:rFonts w:ascii="Arial" w:hAnsi="Arial" w:cs="Arial"/>
          <w:sz w:val="24"/>
          <w:szCs w:val="24"/>
        </w:rPr>
        <w:t>Za zcela nepostradatelné považujeme navázání plánu na respektování národní priority v definici energetického mixu a za důležitý a</w:t>
      </w:r>
      <w:r w:rsidR="00AE71EB">
        <w:rPr>
          <w:rFonts w:ascii="Arial" w:hAnsi="Arial" w:cs="Arial"/>
          <w:sz w:val="24"/>
          <w:szCs w:val="24"/>
        </w:rPr>
        <w:t>spekt tvorby plánu považujeme i efektivitu nákladů.</w:t>
      </w:r>
    </w:p>
    <w:p w:rsidR="00E2298A" w:rsidRPr="00766112" w:rsidRDefault="00E2298A" w:rsidP="0038082D">
      <w:pPr>
        <w:jc w:val="both"/>
        <w:rPr>
          <w:rFonts w:ascii="Arial" w:hAnsi="Arial" w:cs="Arial"/>
          <w:sz w:val="24"/>
          <w:szCs w:val="24"/>
        </w:rPr>
      </w:pPr>
      <w:r w:rsidRPr="00766112">
        <w:rPr>
          <w:rFonts w:ascii="Arial" w:hAnsi="Arial" w:cs="Arial"/>
          <w:sz w:val="24"/>
          <w:szCs w:val="24"/>
        </w:rPr>
        <w:t>V souvislosti s předložením 1. plánu na roky 2021 až 2030 upozorňujeme na systémovou nelogičnost termínů pro jeho předložení, přičemž termín pro předložení návrhu plánu je stanoven na 1. ledna 2018 a termín pro předložení finálního plánu je stanoven k 1. lednu 2019.  Dovolujeme si upozornit, že s ohledem časovou náročnost procesu přijímaní nařízení a s ohledem na povinnost vést veřejný konzultační proces na národní úrovni a zároveň konzultovat plán i se sousedními státy a dalšími členskými státy, které o konzultaci projeví zájem, se předložení návrhu plánu do 1. ledna 2018 a předložení finálního plánu k 1. le</w:t>
      </w:r>
      <w:r w:rsidR="00AE71EB">
        <w:rPr>
          <w:rFonts w:ascii="Arial" w:hAnsi="Arial" w:cs="Arial"/>
          <w:sz w:val="24"/>
          <w:szCs w:val="24"/>
        </w:rPr>
        <w:t>dnu 2019 jeví zcela nereálným.</w:t>
      </w:r>
    </w:p>
    <w:p w:rsidR="00E2298A" w:rsidRPr="00766112" w:rsidRDefault="00E2298A" w:rsidP="0038082D">
      <w:pPr>
        <w:jc w:val="both"/>
        <w:rPr>
          <w:rFonts w:ascii="Arial" w:hAnsi="Arial" w:cs="Arial"/>
          <w:sz w:val="24"/>
          <w:szCs w:val="24"/>
        </w:rPr>
      </w:pPr>
      <w:r w:rsidRPr="00766112">
        <w:rPr>
          <w:rFonts w:ascii="Arial" w:hAnsi="Arial" w:cs="Arial"/>
          <w:sz w:val="24"/>
          <w:szCs w:val="24"/>
        </w:rPr>
        <w:lastRenderedPageBreak/>
        <w:t>Dále upozorňujeme, že seznam parametrů a hodno</w:t>
      </w:r>
      <w:r w:rsidR="00AE71EB">
        <w:rPr>
          <w:rFonts w:ascii="Arial" w:hAnsi="Arial" w:cs="Arial"/>
          <w:sz w:val="24"/>
          <w:szCs w:val="24"/>
        </w:rPr>
        <w:t>t, které mají být uvedeny v </w:t>
      </w:r>
      <w:r w:rsidRPr="00766112">
        <w:rPr>
          <w:rFonts w:ascii="Arial" w:hAnsi="Arial" w:cs="Arial"/>
          <w:sz w:val="24"/>
          <w:szCs w:val="24"/>
        </w:rPr>
        <w:t>národních plánech, by měl respektovat národní odlišnosti jednotlivých členských států.</w:t>
      </w:r>
    </w:p>
    <w:p w:rsidR="00E2298A" w:rsidRPr="00766112" w:rsidRDefault="00E2298A" w:rsidP="0038082D">
      <w:pPr>
        <w:jc w:val="both"/>
        <w:rPr>
          <w:rFonts w:ascii="Arial" w:hAnsi="Arial" w:cs="Arial"/>
          <w:sz w:val="24"/>
          <w:szCs w:val="24"/>
        </w:rPr>
      </w:pPr>
    </w:p>
    <w:p w:rsidR="00E2298A" w:rsidRDefault="00E2298A" w:rsidP="0038082D">
      <w:pPr>
        <w:jc w:val="both"/>
        <w:rPr>
          <w:rFonts w:ascii="Arial" w:hAnsi="Arial" w:cs="Arial"/>
          <w:sz w:val="24"/>
          <w:szCs w:val="24"/>
        </w:rPr>
      </w:pPr>
    </w:p>
    <w:p w:rsidR="00584CCC" w:rsidRDefault="00584CCC" w:rsidP="0038082D">
      <w:pPr>
        <w:jc w:val="both"/>
        <w:rPr>
          <w:rFonts w:ascii="Arial" w:hAnsi="Arial" w:cs="Arial"/>
          <w:sz w:val="24"/>
          <w:szCs w:val="24"/>
        </w:rPr>
      </w:pPr>
    </w:p>
    <w:p w:rsidR="00584CCC" w:rsidRDefault="0084274D" w:rsidP="00E94049">
      <w:pPr>
        <w:pStyle w:val="Odstavecseseznamem"/>
        <w:numPr>
          <w:ilvl w:val="0"/>
          <w:numId w:val="5"/>
        </w:numPr>
        <w:tabs>
          <w:tab w:val="left" w:pos="426"/>
        </w:tabs>
        <w:ind w:left="426" w:hanging="426"/>
        <w:jc w:val="both"/>
        <w:rPr>
          <w:rFonts w:ascii="Arial" w:hAnsi="Arial" w:cs="Arial"/>
          <w:b/>
          <w:bCs/>
          <w:sz w:val="24"/>
        </w:rPr>
      </w:pPr>
      <w:r w:rsidRPr="00E94049">
        <w:rPr>
          <w:rFonts w:ascii="Arial" w:hAnsi="Arial" w:cs="Arial"/>
          <w:b/>
          <w:bCs/>
          <w:sz w:val="24"/>
        </w:rPr>
        <w:t>Revize nařízení o ACER</w:t>
      </w:r>
    </w:p>
    <w:p w:rsidR="00816FFA" w:rsidRPr="00E94049" w:rsidRDefault="00816FFA" w:rsidP="00816FFA">
      <w:pPr>
        <w:pStyle w:val="Odstavecseseznamem"/>
        <w:tabs>
          <w:tab w:val="left" w:pos="426"/>
        </w:tabs>
        <w:ind w:left="426"/>
        <w:jc w:val="both"/>
        <w:rPr>
          <w:rFonts w:ascii="Arial" w:hAnsi="Arial" w:cs="Arial"/>
          <w:b/>
          <w:bCs/>
          <w:sz w:val="24"/>
        </w:rPr>
      </w:pPr>
    </w:p>
    <w:p w:rsidR="00584CCC" w:rsidRDefault="0084274D" w:rsidP="0038082D">
      <w:pPr>
        <w:jc w:val="both"/>
        <w:rPr>
          <w:rFonts w:ascii="Arial" w:hAnsi="Arial" w:cs="Arial"/>
          <w:sz w:val="24"/>
          <w:szCs w:val="24"/>
        </w:rPr>
      </w:pPr>
      <w:r>
        <w:rPr>
          <w:rFonts w:ascii="Arial" w:hAnsi="Arial" w:cs="Arial"/>
          <w:sz w:val="24"/>
          <w:szCs w:val="24"/>
        </w:rPr>
        <w:t xml:space="preserve">ČPS </w:t>
      </w:r>
      <w:r w:rsidR="00E94049">
        <w:rPr>
          <w:rFonts w:ascii="Arial" w:hAnsi="Arial" w:cs="Arial"/>
          <w:sz w:val="24"/>
          <w:szCs w:val="24"/>
        </w:rPr>
        <w:t xml:space="preserve">nesouhlasí s </w:t>
      </w:r>
      <w:r w:rsidRPr="0084274D">
        <w:rPr>
          <w:rFonts w:ascii="Arial" w:hAnsi="Arial" w:cs="Arial"/>
          <w:sz w:val="24"/>
          <w:szCs w:val="24"/>
        </w:rPr>
        <w:t>vyškrtnutí</w:t>
      </w:r>
      <w:r w:rsidR="00816FFA">
        <w:rPr>
          <w:rFonts w:ascii="Arial" w:hAnsi="Arial" w:cs="Arial"/>
          <w:sz w:val="24"/>
          <w:szCs w:val="24"/>
        </w:rPr>
        <w:t>m</w:t>
      </w:r>
      <w:r w:rsidRPr="0084274D">
        <w:rPr>
          <w:rFonts w:ascii="Arial" w:hAnsi="Arial" w:cs="Arial"/>
          <w:sz w:val="24"/>
          <w:szCs w:val="24"/>
        </w:rPr>
        <w:t xml:space="preserve"> </w:t>
      </w:r>
      <w:proofErr w:type="spellStart"/>
      <w:r w:rsidRPr="0084274D">
        <w:rPr>
          <w:rFonts w:ascii="Arial" w:hAnsi="Arial" w:cs="Arial"/>
          <w:sz w:val="24"/>
          <w:szCs w:val="24"/>
        </w:rPr>
        <w:t>ENTSOE</w:t>
      </w:r>
      <w:proofErr w:type="spellEnd"/>
      <w:r w:rsidRPr="0084274D">
        <w:rPr>
          <w:rFonts w:ascii="Arial" w:hAnsi="Arial" w:cs="Arial"/>
          <w:sz w:val="24"/>
          <w:szCs w:val="24"/>
        </w:rPr>
        <w:t xml:space="preserve"> z článku 5 (1) b)</w:t>
      </w:r>
      <w:r w:rsidR="00E94049">
        <w:rPr>
          <w:rFonts w:ascii="Arial" w:hAnsi="Arial" w:cs="Arial"/>
          <w:sz w:val="24"/>
          <w:szCs w:val="24"/>
        </w:rPr>
        <w:t xml:space="preserve">. Domníváme se, že </w:t>
      </w:r>
      <w:r w:rsidRPr="0084274D">
        <w:rPr>
          <w:rFonts w:ascii="Arial" w:hAnsi="Arial" w:cs="Arial"/>
          <w:sz w:val="24"/>
          <w:szCs w:val="24"/>
        </w:rPr>
        <w:t>k</w:t>
      </w:r>
      <w:r w:rsidR="00E94049">
        <w:rPr>
          <w:rFonts w:ascii="Arial" w:hAnsi="Arial" w:cs="Arial"/>
          <w:sz w:val="24"/>
          <w:szCs w:val="24"/>
        </w:rPr>
        <w:t> </w:t>
      </w:r>
      <w:r w:rsidRPr="0084274D">
        <w:rPr>
          <w:rFonts w:ascii="Arial" w:hAnsi="Arial" w:cs="Arial"/>
          <w:sz w:val="24"/>
          <w:szCs w:val="24"/>
        </w:rPr>
        <w:t xml:space="preserve">omezení pravomoci </w:t>
      </w:r>
      <w:proofErr w:type="spellStart"/>
      <w:r w:rsidRPr="0084274D">
        <w:rPr>
          <w:rFonts w:ascii="Arial" w:hAnsi="Arial" w:cs="Arial"/>
          <w:sz w:val="24"/>
          <w:szCs w:val="24"/>
        </w:rPr>
        <w:t>ACER</w:t>
      </w:r>
      <w:proofErr w:type="spellEnd"/>
      <w:r w:rsidRPr="0084274D">
        <w:rPr>
          <w:rFonts w:ascii="Arial" w:hAnsi="Arial" w:cs="Arial"/>
          <w:sz w:val="24"/>
          <w:szCs w:val="24"/>
        </w:rPr>
        <w:t xml:space="preserve">, aby mohl vydávat do budoucna odůvodněná stanoviska jen vůči </w:t>
      </w:r>
      <w:proofErr w:type="spellStart"/>
      <w:r w:rsidRPr="0084274D">
        <w:rPr>
          <w:rFonts w:ascii="Arial" w:hAnsi="Arial" w:cs="Arial"/>
          <w:sz w:val="24"/>
          <w:szCs w:val="24"/>
        </w:rPr>
        <w:t>ENTSOG</w:t>
      </w:r>
      <w:proofErr w:type="spellEnd"/>
      <w:r w:rsidR="00E94049">
        <w:rPr>
          <w:rFonts w:ascii="Arial" w:hAnsi="Arial" w:cs="Arial"/>
          <w:sz w:val="24"/>
          <w:szCs w:val="24"/>
        </w:rPr>
        <w:t xml:space="preserve"> není žádný </w:t>
      </w:r>
      <w:r w:rsidRPr="0084274D">
        <w:rPr>
          <w:rFonts w:ascii="Arial" w:hAnsi="Arial" w:cs="Arial"/>
          <w:sz w:val="24"/>
          <w:szCs w:val="24"/>
        </w:rPr>
        <w:t>důvod.</w:t>
      </w:r>
    </w:p>
    <w:p w:rsidR="00584CCC" w:rsidRDefault="00584CCC" w:rsidP="0038082D">
      <w:pPr>
        <w:jc w:val="both"/>
        <w:rPr>
          <w:rFonts w:ascii="Arial" w:hAnsi="Arial" w:cs="Arial"/>
          <w:sz w:val="24"/>
          <w:szCs w:val="24"/>
        </w:rPr>
      </w:pPr>
    </w:p>
    <w:p w:rsidR="00584CCC" w:rsidRDefault="00584CCC" w:rsidP="0038082D">
      <w:pPr>
        <w:jc w:val="both"/>
        <w:rPr>
          <w:rFonts w:ascii="Arial" w:hAnsi="Arial" w:cs="Arial"/>
          <w:sz w:val="24"/>
          <w:szCs w:val="24"/>
        </w:rPr>
      </w:pPr>
    </w:p>
    <w:p w:rsidR="00584CCC" w:rsidRDefault="00584CCC" w:rsidP="0038082D">
      <w:pPr>
        <w:jc w:val="both"/>
        <w:rPr>
          <w:rFonts w:ascii="Arial" w:hAnsi="Arial" w:cs="Arial"/>
          <w:sz w:val="24"/>
          <w:szCs w:val="24"/>
        </w:rPr>
      </w:pPr>
    </w:p>
    <w:p w:rsidR="00584CCC" w:rsidRDefault="00584CCC" w:rsidP="0038082D">
      <w:pPr>
        <w:jc w:val="both"/>
        <w:rPr>
          <w:rFonts w:ascii="Arial" w:hAnsi="Arial" w:cs="Arial"/>
          <w:sz w:val="24"/>
          <w:szCs w:val="24"/>
        </w:rPr>
      </w:pPr>
    </w:p>
    <w:p w:rsidR="00E94049" w:rsidRDefault="00E94049" w:rsidP="0038082D">
      <w:pPr>
        <w:jc w:val="both"/>
        <w:rPr>
          <w:rFonts w:ascii="Arial" w:hAnsi="Arial" w:cs="Arial"/>
          <w:sz w:val="24"/>
          <w:szCs w:val="24"/>
        </w:rPr>
      </w:pPr>
    </w:p>
    <w:p w:rsidR="00E94049" w:rsidRDefault="00E94049" w:rsidP="0038082D">
      <w:pPr>
        <w:jc w:val="both"/>
        <w:rPr>
          <w:rFonts w:ascii="Arial" w:hAnsi="Arial" w:cs="Arial"/>
          <w:sz w:val="24"/>
          <w:szCs w:val="24"/>
        </w:rPr>
      </w:pPr>
    </w:p>
    <w:p w:rsidR="00E94049" w:rsidRDefault="00E94049" w:rsidP="0038082D">
      <w:pPr>
        <w:jc w:val="both"/>
        <w:rPr>
          <w:rFonts w:ascii="Arial" w:hAnsi="Arial" w:cs="Arial"/>
          <w:sz w:val="24"/>
          <w:szCs w:val="24"/>
        </w:rPr>
      </w:pPr>
    </w:p>
    <w:p w:rsidR="00584CCC" w:rsidRPr="00766112" w:rsidRDefault="00584CCC" w:rsidP="0038082D">
      <w:pPr>
        <w:jc w:val="both"/>
        <w:rPr>
          <w:rFonts w:ascii="Arial" w:hAnsi="Arial" w:cs="Arial"/>
          <w:sz w:val="24"/>
          <w:szCs w:val="24"/>
        </w:rPr>
      </w:pPr>
      <w:r>
        <w:rPr>
          <w:rFonts w:ascii="Arial" w:hAnsi="Arial" w:cs="Arial"/>
          <w:sz w:val="24"/>
          <w:szCs w:val="24"/>
        </w:rPr>
        <w:t>V Praze dne 12. 12. 2016</w:t>
      </w:r>
    </w:p>
    <w:sectPr w:rsidR="00584CCC" w:rsidRPr="00766112" w:rsidSect="00E94049">
      <w:footerReference w:type="default" r:id="rId8"/>
      <w:headerReference w:type="first" r:id="rId9"/>
      <w:footerReference w:type="first" r:id="rId10"/>
      <w:pgSz w:w="11906" w:h="16838" w:code="9"/>
      <w:pgMar w:top="1418" w:right="1418" w:bottom="1134" w:left="1418" w:header="284" w:footer="13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3D4" w:rsidRDefault="001463D4" w:rsidP="00E94049">
      <w:r>
        <w:separator/>
      </w:r>
    </w:p>
  </w:endnote>
  <w:endnote w:type="continuationSeparator" w:id="0">
    <w:p w:rsidR="001463D4" w:rsidRDefault="001463D4" w:rsidP="00E940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9274"/>
      <w:docPartObj>
        <w:docPartGallery w:val="Page Numbers (Bottom of Page)"/>
        <w:docPartUnique/>
      </w:docPartObj>
    </w:sdtPr>
    <w:sdtEndPr>
      <w:rPr>
        <w:rFonts w:ascii="Arial" w:hAnsi="Arial" w:cs="Arial"/>
        <w:sz w:val="24"/>
        <w:szCs w:val="24"/>
      </w:rPr>
    </w:sdtEndPr>
    <w:sdtContent>
      <w:p w:rsidR="00E94049" w:rsidRPr="00E94049" w:rsidRDefault="00C151A3">
        <w:pPr>
          <w:pStyle w:val="Zpat"/>
          <w:jc w:val="center"/>
          <w:rPr>
            <w:rFonts w:ascii="Arial" w:hAnsi="Arial" w:cs="Arial"/>
            <w:sz w:val="24"/>
            <w:szCs w:val="24"/>
          </w:rPr>
        </w:pPr>
        <w:r w:rsidRPr="00E94049">
          <w:rPr>
            <w:rFonts w:ascii="Arial" w:hAnsi="Arial" w:cs="Arial"/>
            <w:sz w:val="24"/>
            <w:szCs w:val="24"/>
          </w:rPr>
          <w:fldChar w:fldCharType="begin"/>
        </w:r>
        <w:r w:rsidR="00E94049" w:rsidRPr="00E94049">
          <w:rPr>
            <w:rFonts w:ascii="Arial" w:hAnsi="Arial" w:cs="Arial"/>
            <w:sz w:val="24"/>
            <w:szCs w:val="24"/>
          </w:rPr>
          <w:instrText xml:space="preserve"> PAGE   \* MERGEFORMAT </w:instrText>
        </w:r>
        <w:r w:rsidRPr="00E94049">
          <w:rPr>
            <w:rFonts w:ascii="Arial" w:hAnsi="Arial" w:cs="Arial"/>
            <w:sz w:val="24"/>
            <w:szCs w:val="24"/>
          </w:rPr>
          <w:fldChar w:fldCharType="separate"/>
        </w:r>
        <w:r w:rsidR="00D11F30">
          <w:rPr>
            <w:rFonts w:ascii="Arial" w:hAnsi="Arial" w:cs="Arial"/>
            <w:noProof/>
            <w:sz w:val="24"/>
            <w:szCs w:val="24"/>
          </w:rPr>
          <w:t>7</w:t>
        </w:r>
        <w:r w:rsidRPr="00E94049">
          <w:rPr>
            <w:rFonts w:ascii="Arial" w:hAnsi="Arial" w:cs="Arial"/>
            <w:sz w:val="24"/>
            <w:szCs w:val="24"/>
          </w:rPr>
          <w:fldChar w:fldCharType="end"/>
        </w:r>
      </w:p>
    </w:sdtContent>
  </w:sdt>
  <w:p w:rsidR="00E94049" w:rsidRDefault="00E9404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9275"/>
      <w:docPartObj>
        <w:docPartGallery w:val="Page Numbers (Bottom of Page)"/>
        <w:docPartUnique/>
      </w:docPartObj>
    </w:sdtPr>
    <w:sdtEndPr>
      <w:rPr>
        <w:rFonts w:ascii="Arial" w:hAnsi="Arial" w:cs="Arial"/>
        <w:sz w:val="24"/>
        <w:szCs w:val="24"/>
      </w:rPr>
    </w:sdtEndPr>
    <w:sdtContent>
      <w:p w:rsidR="00E94049" w:rsidRPr="00E94049" w:rsidRDefault="00C151A3">
        <w:pPr>
          <w:pStyle w:val="Zpat"/>
          <w:jc w:val="center"/>
          <w:rPr>
            <w:rFonts w:ascii="Arial" w:hAnsi="Arial" w:cs="Arial"/>
            <w:sz w:val="24"/>
            <w:szCs w:val="24"/>
          </w:rPr>
        </w:pPr>
        <w:r w:rsidRPr="00E94049">
          <w:rPr>
            <w:rFonts w:ascii="Arial" w:hAnsi="Arial" w:cs="Arial"/>
            <w:sz w:val="24"/>
            <w:szCs w:val="24"/>
          </w:rPr>
          <w:fldChar w:fldCharType="begin"/>
        </w:r>
        <w:r w:rsidR="00E94049" w:rsidRPr="00E94049">
          <w:rPr>
            <w:rFonts w:ascii="Arial" w:hAnsi="Arial" w:cs="Arial"/>
            <w:sz w:val="24"/>
            <w:szCs w:val="24"/>
          </w:rPr>
          <w:instrText xml:space="preserve"> PAGE   \* MERGEFORMAT </w:instrText>
        </w:r>
        <w:r w:rsidRPr="00E94049">
          <w:rPr>
            <w:rFonts w:ascii="Arial" w:hAnsi="Arial" w:cs="Arial"/>
            <w:sz w:val="24"/>
            <w:szCs w:val="24"/>
          </w:rPr>
          <w:fldChar w:fldCharType="separate"/>
        </w:r>
        <w:r w:rsidR="00D11F30">
          <w:rPr>
            <w:rFonts w:ascii="Arial" w:hAnsi="Arial" w:cs="Arial"/>
            <w:noProof/>
            <w:sz w:val="24"/>
            <w:szCs w:val="24"/>
          </w:rPr>
          <w:t>1</w:t>
        </w:r>
        <w:r w:rsidRPr="00E94049">
          <w:rPr>
            <w:rFonts w:ascii="Arial" w:hAnsi="Arial" w:cs="Arial"/>
            <w:sz w:val="24"/>
            <w:szCs w:val="24"/>
          </w:rPr>
          <w:fldChar w:fldCharType="end"/>
        </w:r>
      </w:p>
    </w:sdtContent>
  </w:sdt>
  <w:p w:rsidR="00E94049" w:rsidRDefault="00E9404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3D4" w:rsidRDefault="001463D4" w:rsidP="00E94049">
      <w:r>
        <w:separator/>
      </w:r>
    </w:p>
  </w:footnote>
  <w:footnote w:type="continuationSeparator" w:id="0">
    <w:p w:rsidR="001463D4" w:rsidRDefault="001463D4" w:rsidP="00E94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049" w:rsidRDefault="00E94049" w:rsidP="00E94049">
    <w:pPr>
      <w:pStyle w:val="Zhlav"/>
      <w:jc w:val="center"/>
    </w:pPr>
    <w:r w:rsidRPr="00E94049">
      <w:rPr>
        <w:noProof/>
        <w:lang w:eastAsia="cs-CZ"/>
      </w:rPr>
      <w:drawing>
        <wp:inline distT="0" distB="0" distL="0" distR="0">
          <wp:extent cx="2695575" cy="695325"/>
          <wp:effectExtent l="19050" t="0" r="9525" b="0"/>
          <wp:docPr id="1"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95575" cy="6953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B112F"/>
    <w:multiLevelType w:val="hybridMultilevel"/>
    <w:tmpl w:val="BFBE7B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CDD6E2B"/>
    <w:multiLevelType w:val="hybridMultilevel"/>
    <w:tmpl w:val="6860BF8C"/>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4E70584B"/>
    <w:multiLevelType w:val="hybridMultilevel"/>
    <w:tmpl w:val="12F4A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C5957B6"/>
    <w:multiLevelType w:val="hybridMultilevel"/>
    <w:tmpl w:val="12FCA6A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5BF0360"/>
    <w:multiLevelType w:val="hybridMultilevel"/>
    <w:tmpl w:val="3C38ABB2"/>
    <w:lvl w:ilvl="0" w:tplc="D19256B2">
      <w:start w:val="4"/>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oupa Vlastimil">
    <w15:presenceInfo w15:providerId="AD" w15:userId="S-1-5-21-2721319797-2137462533-598083918-134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264A6"/>
    <w:rsid w:val="000207C1"/>
    <w:rsid w:val="0002216D"/>
    <w:rsid w:val="00024096"/>
    <w:rsid w:val="000264A6"/>
    <w:rsid w:val="000275FE"/>
    <w:rsid w:val="00044F26"/>
    <w:rsid w:val="00092A12"/>
    <w:rsid w:val="000F1F4E"/>
    <w:rsid w:val="001463D4"/>
    <w:rsid w:val="001A557F"/>
    <w:rsid w:val="001B2D22"/>
    <w:rsid w:val="001B35AB"/>
    <w:rsid w:val="001E1E58"/>
    <w:rsid w:val="00210EA8"/>
    <w:rsid w:val="002442AE"/>
    <w:rsid w:val="002623FB"/>
    <w:rsid w:val="002B6AEA"/>
    <w:rsid w:val="002C5A0D"/>
    <w:rsid w:val="002E750B"/>
    <w:rsid w:val="002F6A87"/>
    <w:rsid w:val="00313E28"/>
    <w:rsid w:val="00332322"/>
    <w:rsid w:val="003614EF"/>
    <w:rsid w:val="0038082D"/>
    <w:rsid w:val="003C43BF"/>
    <w:rsid w:val="00431BBA"/>
    <w:rsid w:val="004C35C2"/>
    <w:rsid w:val="005063AC"/>
    <w:rsid w:val="00541F88"/>
    <w:rsid w:val="00563AC4"/>
    <w:rsid w:val="005679CA"/>
    <w:rsid w:val="00584CCC"/>
    <w:rsid w:val="005A46CC"/>
    <w:rsid w:val="005D39B9"/>
    <w:rsid w:val="006219E8"/>
    <w:rsid w:val="00662816"/>
    <w:rsid w:val="00697D79"/>
    <w:rsid w:val="006C3821"/>
    <w:rsid w:val="006E3683"/>
    <w:rsid w:val="00741F6B"/>
    <w:rsid w:val="00766112"/>
    <w:rsid w:val="00794920"/>
    <w:rsid w:val="007C1DA5"/>
    <w:rsid w:val="007C2C72"/>
    <w:rsid w:val="007D3952"/>
    <w:rsid w:val="007D3D7E"/>
    <w:rsid w:val="00803A4B"/>
    <w:rsid w:val="00816FFA"/>
    <w:rsid w:val="0084274D"/>
    <w:rsid w:val="008E55C3"/>
    <w:rsid w:val="009154D1"/>
    <w:rsid w:val="00925F9E"/>
    <w:rsid w:val="00940D00"/>
    <w:rsid w:val="00972E9F"/>
    <w:rsid w:val="009823DA"/>
    <w:rsid w:val="009C5548"/>
    <w:rsid w:val="009F31E4"/>
    <w:rsid w:val="00A239CE"/>
    <w:rsid w:val="00AA4B06"/>
    <w:rsid w:val="00AE71EB"/>
    <w:rsid w:val="00B03110"/>
    <w:rsid w:val="00B53C45"/>
    <w:rsid w:val="00B5678E"/>
    <w:rsid w:val="00B802F7"/>
    <w:rsid w:val="00BE38E7"/>
    <w:rsid w:val="00C05D7F"/>
    <w:rsid w:val="00C13BBF"/>
    <w:rsid w:val="00C151A3"/>
    <w:rsid w:val="00C347BA"/>
    <w:rsid w:val="00C6067C"/>
    <w:rsid w:val="00C86F3B"/>
    <w:rsid w:val="00C903D0"/>
    <w:rsid w:val="00CB42DB"/>
    <w:rsid w:val="00CD5681"/>
    <w:rsid w:val="00D11F30"/>
    <w:rsid w:val="00D61B15"/>
    <w:rsid w:val="00DB0FEA"/>
    <w:rsid w:val="00DB4406"/>
    <w:rsid w:val="00DC3C55"/>
    <w:rsid w:val="00DD2678"/>
    <w:rsid w:val="00E2298A"/>
    <w:rsid w:val="00E90459"/>
    <w:rsid w:val="00E94049"/>
    <w:rsid w:val="00EA2B89"/>
    <w:rsid w:val="00EA6294"/>
    <w:rsid w:val="00EA68FF"/>
    <w:rsid w:val="00EE2F09"/>
    <w:rsid w:val="00F17802"/>
    <w:rsid w:val="00F43804"/>
    <w:rsid w:val="00F51903"/>
    <w:rsid w:val="00F704C9"/>
    <w:rsid w:val="00FA3D05"/>
    <w:rsid w:val="00FC76D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64A6"/>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aliases w:val="Body Texte"/>
    <w:basedOn w:val="Normln"/>
    <w:uiPriority w:val="34"/>
    <w:rsid w:val="000264A6"/>
    <w:pPr>
      <w:ind w:left="720"/>
    </w:pPr>
  </w:style>
  <w:style w:type="character" w:styleId="Odkaznakoment">
    <w:name w:val="annotation reference"/>
    <w:basedOn w:val="Standardnpsmoodstavce"/>
    <w:uiPriority w:val="99"/>
    <w:semiHidden/>
    <w:unhideWhenUsed/>
    <w:rsid w:val="00DD2678"/>
    <w:rPr>
      <w:sz w:val="16"/>
      <w:szCs w:val="16"/>
    </w:rPr>
  </w:style>
  <w:style w:type="paragraph" w:styleId="Textkomente">
    <w:name w:val="annotation text"/>
    <w:basedOn w:val="Normln"/>
    <w:link w:val="TextkomenteChar"/>
    <w:uiPriority w:val="99"/>
    <w:semiHidden/>
    <w:unhideWhenUsed/>
    <w:rsid w:val="00DD2678"/>
    <w:rPr>
      <w:sz w:val="20"/>
      <w:szCs w:val="20"/>
    </w:rPr>
  </w:style>
  <w:style w:type="character" w:customStyle="1" w:styleId="TextkomenteChar">
    <w:name w:val="Text komentáře Char"/>
    <w:basedOn w:val="Standardnpsmoodstavce"/>
    <w:link w:val="Textkomente"/>
    <w:uiPriority w:val="99"/>
    <w:semiHidden/>
    <w:rsid w:val="00DD2678"/>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DD2678"/>
    <w:rPr>
      <w:b/>
      <w:bCs/>
    </w:rPr>
  </w:style>
  <w:style w:type="character" w:customStyle="1" w:styleId="PedmtkomenteChar">
    <w:name w:val="Předmět komentáře Char"/>
    <w:basedOn w:val="TextkomenteChar"/>
    <w:link w:val="Pedmtkomente"/>
    <w:uiPriority w:val="99"/>
    <w:semiHidden/>
    <w:rsid w:val="00DD2678"/>
    <w:rPr>
      <w:rFonts w:ascii="Calibri" w:hAnsi="Calibri" w:cs="Times New Roman"/>
      <w:b/>
      <w:bCs/>
      <w:sz w:val="20"/>
      <w:szCs w:val="20"/>
    </w:rPr>
  </w:style>
  <w:style w:type="paragraph" w:styleId="Textbubliny">
    <w:name w:val="Balloon Text"/>
    <w:basedOn w:val="Normln"/>
    <w:link w:val="TextbublinyChar"/>
    <w:uiPriority w:val="99"/>
    <w:semiHidden/>
    <w:unhideWhenUsed/>
    <w:rsid w:val="00DD267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2678"/>
    <w:rPr>
      <w:rFonts w:ascii="Segoe UI" w:hAnsi="Segoe UI" w:cs="Segoe UI"/>
      <w:sz w:val="18"/>
      <w:szCs w:val="18"/>
    </w:rPr>
  </w:style>
  <w:style w:type="paragraph" w:styleId="Odstavecseseznamem">
    <w:name w:val="List Paragraph"/>
    <w:basedOn w:val="Normln"/>
    <w:uiPriority w:val="34"/>
    <w:qFormat/>
    <w:rsid w:val="003614EF"/>
    <w:pPr>
      <w:ind w:left="720"/>
      <w:contextualSpacing/>
    </w:pPr>
    <w:rPr>
      <w:rFonts w:eastAsiaTheme="minorEastAsia" w:cstheme="minorBidi"/>
      <w:szCs w:val="24"/>
      <w:lang w:val="fr-FR" w:eastAsia="fr-FR"/>
    </w:rPr>
  </w:style>
  <w:style w:type="table" w:styleId="Mkatabulky">
    <w:name w:val="Table Grid"/>
    <w:basedOn w:val="Normlntabulka"/>
    <w:uiPriority w:val="59"/>
    <w:rsid w:val="003614EF"/>
    <w:pPr>
      <w:spacing w:after="0" w:line="240" w:lineRule="auto"/>
    </w:pPr>
    <w:rPr>
      <w:rFonts w:eastAsiaTheme="minorEastAsia"/>
      <w:sz w:val="24"/>
      <w:szCs w:val="24"/>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semiHidden/>
    <w:unhideWhenUsed/>
    <w:rsid w:val="00E94049"/>
    <w:pPr>
      <w:tabs>
        <w:tab w:val="center" w:pos="4536"/>
        <w:tab w:val="right" w:pos="9072"/>
      </w:tabs>
    </w:pPr>
  </w:style>
  <w:style w:type="character" w:customStyle="1" w:styleId="ZhlavChar">
    <w:name w:val="Záhlaví Char"/>
    <w:basedOn w:val="Standardnpsmoodstavce"/>
    <w:link w:val="Zhlav"/>
    <w:uiPriority w:val="99"/>
    <w:semiHidden/>
    <w:rsid w:val="00E94049"/>
    <w:rPr>
      <w:rFonts w:ascii="Calibri" w:hAnsi="Calibri" w:cs="Times New Roman"/>
    </w:rPr>
  </w:style>
  <w:style w:type="paragraph" w:styleId="Zpat">
    <w:name w:val="footer"/>
    <w:basedOn w:val="Normln"/>
    <w:link w:val="ZpatChar"/>
    <w:uiPriority w:val="99"/>
    <w:unhideWhenUsed/>
    <w:rsid w:val="00E94049"/>
    <w:pPr>
      <w:tabs>
        <w:tab w:val="center" w:pos="4536"/>
        <w:tab w:val="right" w:pos="9072"/>
      </w:tabs>
    </w:pPr>
  </w:style>
  <w:style w:type="character" w:customStyle="1" w:styleId="ZpatChar">
    <w:name w:val="Zápatí Char"/>
    <w:basedOn w:val="Standardnpsmoodstavce"/>
    <w:link w:val="Zpat"/>
    <w:uiPriority w:val="99"/>
    <w:rsid w:val="00E94049"/>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15553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028EE-D759-4AA4-94B0-209CE606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2776</Words>
  <Characters>16385</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19123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Pecanek 2</cp:lastModifiedBy>
  <cp:revision>2</cp:revision>
  <cp:lastPrinted>2016-12-12T13:34:00Z</cp:lastPrinted>
  <dcterms:created xsi:type="dcterms:W3CDTF">2016-12-12T15:55:00Z</dcterms:created>
  <dcterms:modified xsi:type="dcterms:W3CDTF">2016-12-12T15:55:00Z</dcterms:modified>
</cp:coreProperties>
</file>