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322" w:type="dxa"/>
        <w:tblLook w:val="04A0"/>
      </w:tblPr>
      <w:tblGrid>
        <w:gridCol w:w="2093"/>
        <w:gridCol w:w="7229"/>
      </w:tblGrid>
      <w:tr w:rsidR="005B1309" w:rsidTr="00857009">
        <w:tc>
          <w:tcPr>
            <w:tcW w:w="2093" w:type="dxa"/>
            <w:vAlign w:val="center"/>
          </w:tcPr>
          <w:p w:rsidR="005B1309" w:rsidRDefault="005B1309" w:rsidP="00857009">
            <w:pPr>
              <w:rPr>
                <w:b/>
              </w:rPr>
            </w:pPr>
            <w:r w:rsidRPr="004D5CCD">
              <w:rPr>
                <w:b/>
              </w:rPr>
              <w:t>Název materiálu</w:t>
            </w:r>
            <w:r>
              <w:rPr>
                <w:b/>
              </w:rPr>
              <w:t>:</w:t>
            </w:r>
          </w:p>
          <w:p w:rsidR="005B1309" w:rsidRDefault="005B1309" w:rsidP="00857009">
            <w:pPr>
              <w:rPr>
                <w:b/>
              </w:rPr>
            </w:pPr>
          </w:p>
        </w:tc>
        <w:tc>
          <w:tcPr>
            <w:tcW w:w="7229" w:type="dxa"/>
          </w:tcPr>
          <w:p w:rsidR="005B1309" w:rsidRDefault="00EC583B" w:rsidP="006A7A9A">
            <w:pPr>
              <w:rPr>
                <w:b/>
              </w:rPr>
            </w:pPr>
            <w:r>
              <w:rPr>
                <w:b/>
              </w:rPr>
              <w:t>N</w:t>
            </w:r>
            <w:r w:rsidR="006A7A9A">
              <w:rPr>
                <w:b/>
              </w:rPr>
              <w:t xml:space="preserve">ovela vyhlášky, </w:t>
            </w:r>
            <w:r w:rsidR="006A7A9A" w:rsidRPr="006A7A9A">
              <w:rPr>
                <w:b/>
              </w:rPr>
              <w:t xml:space="preserve">kterou se mění vyhláška č. 408/2015 Sb., o Pravidlech trhu s elektřinou </w:t>
            </w:r>
            <w:r w:rsidRPr="00EC583B">
              <w:t xml:space="preserve">(zveřejněno </w:t>
            </w:r>
            <w:proofErr w:type="spellStart"/>
            <w:r w:rsidRPr="00EC583B">
              <w:t>HK</w:t>
            </w:r>
            <w:proofErr w:type="spellEnd"/>
            <w:r w:rsidRPr="00EC583B">
              <w:t xml:space="preserve"> ČR dne </w:t>
            </w:r>
            <w:r w:rsidR="006A7A9A">
              <w:t xml:space="preserve">24. 11. </w:t>
            </w:r>
            <w:r w:rsidRPr="00EC583B">
              <w:t>2016)</w:t>
            </w:r>
          </w:p>
        </w:tc>
      </w:tr>
      <w:tr w:rsidR="005B1309" w:rsidTr="00857009">
        <w:tc>
          <w:tcPr>
            <w:tcW w:w="2093" w:type="dxa"/>
            <w:vAlign w:val="center"/>
          </w:tcPr>
          <w:p w:rsidR="005B1309" w:rsidRDefault="005B1309" w:rsidP="00EC583B">
            <w:pPr>
              <w:rPr>
                <w:b/>
              </w:rPr>
            </w:pPr>
            <w:r w:rsidRPr="004D5CCD">
              <w:rPr>
                <w:b/>
              </w:rPr>
              <w:t>Jméno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:rsidR="005B1309" w:rsidRPr="00EC583B" w:rsidRDefault="00EC583B" w:rsidP="00EC583B">
            <w:r w:rsidRPr="00EC583B">
              <w:t>Tomáš Pecánek</w:t>
            </w:r>
            <w:r w:rsidR="006A7A9A">
              <w:t>, Anna Cajchanová</w:t>
            </w:r>
          </w:p>
        </w:tc>
      </w:tr>
      <w:tr w:rsidR="005B1309" w:rsidTr="00857009">
        <w:tc>
          <w:tcPr>
            <w:tcW w:w="2093" w:type="dxa"/>
            <w:vAlign w:val="center"/>
          </w:tcPr>
          <w:p w:rsidR="005B1309" w:rsidRDefault="005B1309" w:rsidP="00EC583B">
            <w:pPr>
              <w:rPr>
                <w:b/>
              </w:rPr>
            </w:pPr>
            <w:r w:rsidRPr="004D5CCD">
              <w:rPr>
                <w:b/>
              </w:rPr>
              <w:t>Telefon</w:t>
            </w:r>
            <w:r w:rsidRPr="004D5CCD">
              <w:rPr>
                <w:b/>
              </w:rPr>
              <w:tab/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:rsidR="005B1309" w:rsidRPr="00EC583B" w:rsidRDefault="00FA2E37" w:rsidP="00857009">
            <w:r>
              <w:t>+420 602 560 77</w:t>
            </w:r>
            <w:r w:rsidR="00EC583B" w:rsidRPr="00EC583B">
              <w:t>1</w:t>
            </w:r>
          </w:p>
        </w:tc>
      </w:tr>
      <w:tr w:rsidR="005B1309" w:rsidTr="00857009">
        <w:tc>
          <w:tcPr>
            <w:tcW w:w="2093" w:type="dxa"/>
            <w:vAlign w:val="center"/>
          </w:tcPr>
          <w:p w:rsidR="005B1309" w:rsidRDefault="005B1309" w:rsidP="00EC583B">
            <w:pPr>
              <w:rPr>
                <w:b/>
              </w:rPr>
            </w:pPr>
            <w:r w:rsidRPr="004D5CCD">
              <w:rPr>
                <w:b/>
              </w:rPr>
              <w:t>e-mail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:rsidR="005B1309" w:rsidRPr="00EC583B" w:rsidRDefault="006A7A9A" w:rsidP="00857009">
            <w:hyperlink r:id="rId7" w:history="1">
              <w:proofErr w:type="spellStart"/>
              <w:r w:rsidRPr="00B7595D">
                <w:rPr>
                  <w:rStyle w:val="Hypertextovodkaz"/>
                </w:rPr>
                <w:t>tomas.pecanek</w:t>
              </w:r>
              <w:proofErr w:type="spellEnd"/>
              <w:r w:rsidRPr="00B7595D">
                <w:rPr>
                  <w:rStyle w:val="Hypertextovodkaz"/>
                </w:rPr>
                <w:t>@</w:t>
              </w:r>
              <w:proofErr w:type="spellStart"/>
              <w:r w:rsidRPr="00B7595D">
                <w:rPr>
                  <w:rStyle w:val="Hypertextovodkaz"/>
                </w:rPr>
                <w:t>cgoa.cz</w:t>
              </w:r>
              <w:proofErr w:type="spellEnd"/>
            </w:hyperlink>
            <w:r>
              <w:t xml:space="preserve">, </w:t>
            </w:r>
            <w:proofErr w:type="spellStart"/>
            <w:r w:rsidRPr="006A7A9A">
              <w:t>Anna.Cajchanova</w:t>
            </w:r>
            <w:proofErr w:type="spellEnd"/>
            <w:r w:rsidRPr="006A7A9A">
              <w:t>@</w:t>
            </w:r>
            <w:proofErr w:type="spellStart"/>
            <w:r w:rsidRPr="006A7A9A">
              <w:t>innogy.com</w:t>
            </w:r>
            <w:proofErr w:type="spellEnd"/>
          </w:p>
        </w:tc>
      </w:tr>
    </w:tbl>
    <w:p w:rsidR="005B1309" w:rsidRDefault="005B1309" w:rsidP="005B1309">
      <w:pPr>
        <w:spacing w:after="0" w:line="240" w:lineRule="auto"/>
        <w:rPr>
          <w:b/>
        </w:rPr>
      </w:pPr>
    </w:p>
    <w:p w:rsidR="004D5CCD" w:rsidRPr="00EC583B" w:rsidRDefault="00EC583B" w:rsidP="00EC583B">
      <w:pPr>
        <w:tabs>
          <w:tab w:val="left" w:pos="567"/>
        </w:tabs>
        <w:spacing w:after="0" w:line="240" w:lineRule="auto"/>
        <w:jc w:val="both"/>
        <w:rPr>
          <w:b/>
        </w:rPr>
      </w:pPr>
      <w:r>
        <w:rPr>
          <w:b/>
        </w:rPr>
        <w:t>C</w:t>
      </w:r>
      <w:r>
        <w:rPr>
          <w:b/>
        </w:rPr>
        <w:tab/>
      </w:r>
      <w:r w:rsidR="00DC3EB8" w:rsidRPr="00EC583B">
        <w:rPr>
          <w:b/>
        </w:rPr>
        <w:t xml:space="preserve">ZÁSADNÍ </w:t>
      </w:r>
      <w:r w:rsidR="004D5CCD" w:rsidRPr="00EC583B">
        <w:rPr>
          <w:b/>
        </w:rPr>
        <w:t>KONKRÉTNÍ PŘIPOMÍNK</w:t>
      </w:r>
      <w:r w:rsidR="0032279B" w:rsidRPr="00EC583B">
        <w:rPr>
          <w:b/>
        </w:rPr>
        <w:t>Y</w:t>
      </w:r>
    </w:p>
    <w:p w:rsidR="00EC583B" w:rsidRDefault="00BA6570" w:rsidP="006A7A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>
        <w:rPr>
          <w:b/>
        </w:rPr>
        <w:t xml:space="preserve">1. </w:t>
      </w:r>
      <w:r w:rsidR="00E02E9C" w:rsidRPr="00E02E9C">
        <w:rPr>
          <w:b/>
        </w:rPr>
        <w:t>Připomínka k</w:t>
      </w:r>
      <w:r w:rsidR="00EC583B" w:rsidRPr="00EC583B">
        <w:t xml:space="preserve"> </w:t>
      </w:r>
      <w:r w:rsidR="00EC583B" w:rsidRPr="00EC583B">
        <w:rPr>
          <w:b/>
        </w:rPr>
        <w:t xml:space="preserve">§ </w:t>
      </w:r>
      <w:r w:rsidR="006A7A9A">
        <w:rPr>
          <w:b/>
        </w:rPr>
        <w:t xml:space="preserve">34 odst. 1 písm. d) - </w:t>
      </w:r>
      <w:r w:rsidR="006A7A9A" w:rsidRPr="006A7A9A">
        <w:rPr>
          <w:b/>
        </w:rPr>
        <w:t>Sjednocení postupu provozovatelů distribuční soustavy při změně zákazníka v odběrném místě, změně dodavatele se změnou zákazníka na odběrném místě a u nového odběru</w:t>
      </w:r>
    </w:p>
    <w:p w:rsidR="00EC583B" w:rsidRPr="00EC583B" w:rsidRDefault="00EC583B" w:rsidP="006A7A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</w:p>
    <w:p w:rsidR="00EC583B" w:rsidRDefault="00EC583B" w:rsidP="006A7A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  <w:r w:rsidRPr="00EC583B">
        <w:t xml:space="preserve">Navrhujeme </w:t>
      </w:r>
      <w:r w:rsidR="006A7A9A">
        <w:t xml:space="preserve">upravit znění </w:t>
      </w:r>
      <w:r w:rsidR="006A7A9A" w:rsidRPr="006A7A9A">
        <w:t xml:space="preserve">§ 34 odst. 1 písm. d) </w:t>
      </w:r>
      <w:r w:rsidRPr="00EC583B">
        <w:t>následovně:</w:t>
      </w:r>
    </w:p>
    <w:p w:rsidR="006A7A9A" w:rsidRPr="006A7A9A" w:rsidRDefault="006A7A9A" w:rsidP="006A7A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</w:p>
    <w:p w:rsidR="006A7A9A" w:rsidRPr="006A7A9A" w:rsidRDefault="006A7A9A" w:rsidP="006A7A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  <w:r w:rsidRPr="006A7A9A">
        <w:rPr>
          <w:rFonts w:eastAsia="Times New Roman"/>
          <w:color w:val="212121"/>
        </w:rPr>
        <w:t xml:space="preserve">d) není </w:t>
      </w:r>
      <w:r w:rsidRPr="006A7A9A">
        <w:rPr>
          <w:rFonts w:eastAsia="Times New Roman"/>
          <w:strike/>
          <w:color w:val="212121"/>
        </w:rPr>
        <w:t>uzavřena smlouva</w:t>
      </w:r>
      <w:r w:rsidRPr="006A7A9A">
        <w:rPr>
          <w:rFonts w:eastAsia="Times New Roman"/>
          <w:color w:val="212121"/>
        </w:rPr>
        <w:t xml:space="preserve"> </w:t>
      </w:r>
      <w:r w:rsidRPr="006A7A9A">
        <w:rPr>
          <w:rFonts w:eastAsia="Times New Roman"/>
          <w:b/>
          <w:color w:val="212121"/>
        </w:rPr>
        <w:t>doručena žádost o uzavření smlouvy</w:t>
      </w:r>
      <w:r w:rsidRPr="006A7A9A">
        <w:rPr>
          <w:rFonts w:eastAsia="Times New Roman"/>
          <w:color w:val="212121"/>
        </w:rPr>
        <w:t xml:space="preserve"> o připojení nebo </w:t>
      </w:r>
      <w:r w:rsidRPr="006A7A9A">
        <w:rPr>
          <w:rFonts w:eastAsia="Times New Roman"/>
          <w:strike/>
          <w:color w:val="212121"/>
        </w:rPr>
        <w:t>není sjednána změna</w:t>
      </w:r>
      <w:r w:rsidRPr="006A7A9A">
        <w:rPr>
          <w:rFonts w:eastAsia="Times New Roman"/>
          <w:color w:val="212121"/>
        </w:rPr>
        <w:t xml:space="preserve"> </w:t>
      </w:r>
      <w:r w:rsidRPr="006A7A9A">
        <w:rPr>
          <w:rFonts w:eastAsia="Times New Roman"/>
          <w:b/>
          <w:color w:val="212121"/>
        </w:rPr>
        <w:t xml:space="preserve">žádost o sjednání změny </w:t>
      </w:r>
      <w:r w:rsidRPr="006A7A9A">
        <w:rPr>
          <w:rFonts w:eastAsia="Times New Roman"/>
          <w:color w:val="212121"/>
        </w:rPr>
        <w:t>smluvních vztahů založených stávající smlouvou o připojení, pokud je taková změna požadována,</w:t>
      </w:r>
    </w:p>
    <w:p w:rsidR="00EC583B" w:rsidRDefault="00EC583B" w:rsidP="006A7A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</w:p>
    <w:p w:rsidR="00EC583B" w:rsidRDefault="00E02E9C" w:rsidP="006A7A9A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3752E">
        <w:rPr>
          <w:b/>
        </w:rPr>
        <w:t>O</w:t>
      </w:r>
      <w:r>
        <w:rPr>
          <w:b/>
        </w:rPr>
        <w:t>důvodnění:</w:t>
      </w:r>
    </w:p>
    <w:p w:rsidR="006A7A9A" w:rsidRDefault="006A7A9A" w:rsidP="006A7A9A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6A7A9A">
        <w:t xml:space="preserve">Na základě § 50 odst. 6 energetického </w:t>
      </w:r>
      <w:proofErr w:type="spellStart"/>
      <w:r w:rsidRPr="006A7A9A">
        <w:t>zákona</w:t>
      </w:r>
      <w:r w:rsidRPr="006A7A9A">
        <w:rPr>
          <w:vertAlign w:val="superscript"/>
        </w:rPr>
        <w:t>1</w:t>
      </w:r>
      <w:proofErr w:type="spellEnd"/>
      <w:r w:rsidRPr="006A7A9A">
        <w:rPr>
          <w:vertAlign w:val="superscript"/>
        </w:rPr>
        <w:t>)</w:t>
      </w:r>
      <w:r w:rsidRPr="006A7A9A">
        <w:t xml:space="preserve"> požadují někteří provozovatelé distribuční soustavy uzavření smlouvy o připojení před zahájením procesů změny zákazníka v odběrném místě, změny dodavatele se změnou zákazníka na odběrném místě a u nového odběru.</w:t>
      </w:r>
    </w:p>
    <w:p w:rsidR="006A7A9A" w:rsidRDefault="006A7A9A" w:rsidP="006A7A9A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6A7A9A">
        <w:t>Ani mezi provozovateli distribuční soustavy ale nepanuje shoda na výkladu předmětného ustanovení energetického zákona, neboť ne všichni postupují výše uvedeným postupem a nevyžadují uzavření smlouvy o připojení předem.</w:t>
      </w:r>
    </w:p>
    <w:p w:rsidR="006A7A9A" w:rsidRDefault="006A7A9A" w:rsidP="006A7A9A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6A7A9A">
        <w:t>Postup, kdy je předem vyžadováno uzavření smlouvy o připojení, považujeme z pohledu obchodníků za technicky velmi obtížně proveditelný, navíc dle našich prvních zkušeností je proces rovněž značně časově náročný, tudíž prodlužuje stávající procesy, a proto se nám tento výklad zákona nejeví jako vycházející vstříc požadavkům na hladký průběh procesu změny dodavatele a ani ho nepovažujeme za pro zákaznický.</w:t>
      </w:r>
    </w:p>
    <w:p w:rsidR="006A7A9A" w:rsidRDefault="006A7A9A" w:rsidP="006A7A9A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6A7A9A">
        <w:t>Navrhujeme proto, aby byl v Pravidlech trhu s elektřinou upřesněn jednotný postup při změně zákazníka na odběrném místě. Jako obchodník navrhujeme vrátit se k postupu dle již zrušené vyhlášky o Pravidlech trhu s elektřinou (vyhláška č. 541/2005 Sb.), kdy ke změně zákazníka na odběrném místě bylo postačující zaslat žádost o uzavření smlouvy o připojení.</w:t>
      </w:r>
    </w:p>
    <w:p w:rsidR="006A7A9A" w:rsidRDefault="006A7A9A" w:rsidP="006A7A9A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6A7A9A" w:rsidRDefault="006A7A9A" w:rsidP="006A7A9A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</w:p>
    <w:p w:rsidR="006A7A9A" w:rsidRDefault="006A7A9A" w:rsidP="006A7A9A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6A7A9A">
        <w:rPr>
          <w:i/>
          <w:vertAlign w:val="superscript"/>
        </w:rPr>
        <w:t>1)</w:t>
      </w:r>
      <w:r>
        <w:rPr>
          <w:i/>
        </w:rPr>
        <w:t xml:space="preserve"> O</w:t>
      </w:r>
      <w:r w:rsidRPr="006A7A9A">
        <w:rPr>
          <w:i/>
        </w:rPr>
        <w:t>píra</w:t>
      </w:r>
      <w:r>
        <w:rPr>
          <w:i/>
        </w:rPr>
        <w:t>jí</w:t>
      </w:r>
      <w:r w:rsidRPr="006A7A9A">
        <w:rPr>
          <w:i/>
        </w:rPr>
        <w:t>cí se zejména o druhou větu § 50 odst. 6: Smlouva o zajištění služby distribuční soustavy musí obsahovat termín zahájení poskytování služby distribuční soustavy, hodnotu rezervovaného příkonu nebo výkonu sjednanou ve smlouvě o připojení, způsob měření elektřiny a jejího průběhu a výčet odběrných nebo předávacích míst.</w:t>
      </w:r>
    </w:p>
    <w:p w:rsidR="00DC3EB8" w:rsidRPr="00EC583B" w:rsidRDefault="00DC3EB8" w:rsidP="00E02E9C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EC583B" w:rsidRDefault="00BA6570" w:rsidP="00EC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>
        <w:rPr>
          <w:b/>
        </w:rPr>
        <w:t xml:space="preserve">2. </w:t>
      </w:r>
      <w:r w:rsidR="00EC583B" w:rsidRPr="00EC583B">
        <w:rPr>
          <w:b/>
        </w:rPr>
        <w:t xml:space="preserve">Připomínka k </w:t>
      </w:r>
      <w:r w:rsidR="00F47745" w:rsidRPr="00F47745">
        <w:rPr>
          <w:b/>
        </w:rPr>
        <w:t xml:space="preserve">§ 40 odst. 3 písm. a) až c) </w:t>
      </w:r>
      <w:r w:rsidR="00F47745">
        <w:rPr>
          <w:b/>
        </w:rPr>
        <w:t xml:space="preserve">- </w:t>
      </w:r>
      <w:r w:rsidR="00F47745" w:rsidRPr="00F47745">
        <w:rPr>
          <w:b/>
        </w:rPr>
        <w:t>Sjednocení pravidel pro řešení tzv. přetržek po vzoru procesu nastaveného v Pravidlech trhu s plynem</w:t>
      </w:r>
    </w:p>
    <w:p w:rsidR="00EC583B" w:rsidRPr="00EC583B" w:rsidRDefault="00EC583B" w:rsidP="00EC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</w:p>
    <w:p w:rsidR="00EC583B" w:rsidRDefault="00EC583B" w:rsidP="00EC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  <w:r w:rsidRPr="00EC583B">
        <w:t xml:space="preserve">Navrhujeme upravit znění </w:t>
      </w:r>
      <w:r w:rsidR="00F47745" w:rsidRPr="00F47745">
        <w:t xml:space="preserve">§ 40 odst. 3 písm. a) až c) </w:t>
      </w:r>
      <w:r w:rsidRPr="00EC583B">
        <w:t>následovně:</w:t>
      </w:r>
    </w:p>
    <w:p w:rsidR="00EC583B" w:rsidRPr="003B5753" w:rsidRDefault="00EC583B" w:rsidP="00EC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</w:p>
    <w:p w:rsidR="003B5753" w:rsidRDefault="003B5753" w:rsidP="00EC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eastAsiaTheme="majorEastAsia" w:cstheme="majorBidi"/>
          <w:color w:val="212121"/>
        </w:rPr>
      </w:pPr>
      <w:r w:rsidRPr="003B5753">
        <w:rPr>
          <w:rFonts w:eastAsiaTheme="majorEastAsia" w:cstheme="majorBidi"/>
          <w:color w:val="212121"/>
        </w:rPr>
        <w:t xml:space="preserve">a) žádost o změnu dodavatele podává dodavatel u operátora trhu nejpozději do 10.00 hodin </w:t>
      </w:r>
      <w:r w:rsidRPr="003B5753">
        <w:rPr>
          <w:rFonts w:eastAsiaTheme="majorEastAsia" w:cstheme="majorBidi"/>
          <w:strike/>
          <w:color w:val="212121"/>
        </w:rPr>
        <w:t>pátého pracovního dne před požadovaným termínem zahájení dodávek elektřiny</w:t>
      </w:r>
      <w:r w:rsidRPr="003B5753">
        <w:rPr>
          <w:rFonts w:eastAsiaTheme="majorEastAsia" w:cstheme="majorBidi"/>
          <w:color w:val="212121"/>
        </w:rPr>
        <w:t xml:space="preserve"> </w:t>
      </w:r>
      <w:r w:rsidRPr="003B5753">
        <w:rPr>
          <w:rFonts w:eastAsiaTheme="majorEastAsia" w:cstheme="majorBidi"/>
          <w:b/>
          <w:bCs/>
          <w:color w:val="212121"/>
        </w:rPr>
        <w:t>pracovního dne předcházejícího pracovnímu dni nejbližšího možného zahájení dodávek elektřiny sjednaným s provozovatelem distribuční soustavy</w:t>
      </w:r>
      <w:r w:rsidRPr="003B5753">
        <w:rPr>
          <w:rFonts w:eastAsiaTheme="majorEastAsia" w:cstheme="majorBidi"/>
          <w:color w:val="212121"/>
        </w:rPr>
        <w:t>,</w:t>
      </w:r>
    </w:p>
    <w:p w:rsidR="003B5753" w:rsidRDefault="003B5753" w:rsidP="00EC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eastAsiaTheme="majorEastAsia" w:cstheme="majorBidi"/>
          <w:color w:val="212121"/>
        </w:rPr>
      </w:pPr>
    </w:p>
    <w:p w:rsidR="003B5753" w:rsidRDefault="003B5753" w:rsidP="00EC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eastAsiaTheme="majorEastAsia" w:cstheme="majorBidi"/>
          <w:color w:val="212121"/>
        </w:rPr>
      </w:pPr>
      <w:r w:rsidRPr="003B5753">
        <w:rPr>
          <w:rFonts w:eastAsiaTheme="majorEastAsia" w:cstheme="majorBidi"/>
          <w:color w:val="212121"/>
        </w:rPr>
        <w:t xml:space="preserve">b) úkony nutné k provedení změny dodavatele a uzavření smlouvy o zajištění služby distribuční soustavy se uskutečňují do </w:t>
      </w:r>
      <w:r w:rsidRPr="003B5753">
        <w:rPr>
          <w:rFonts w:eastAsiaTheme="majorEastAsia" w:cstheme="majorBidi"/>
          <w:strike/>
          <w:color w:val="212121"/>
        </w:rPr>
        <w:t>třetího pracovního dne po podání této žádosti; lhůty určené podle hodin zůstávají zachovány</w:t>
      </w:r>
      <w:r w:rsidRPr="003B5753">
        <w:rPr>
          <w:rFonts w:eastAsiaTheme="majorEastAsia" w:cstheme="majorBidi"/>
          <w:color w:val="212121"/>
        </w:rPr>
        <w:t xml:space="preserve"> </w:t>
      </w:r>
      <w:r w:rsidRPr="003B5753">
        <w:rPr>
          <w:rFonts w:eastAsiaTheme="majorEastAsia" w:cstheme="majorBidi"/>
          <w:b/>
          <w:bCs/>
          <w:color w:val="212121"/>
        </w:rPr>
        <w:t>18.00 hodin pracovního dne předcházejícího pracovnímu dni nejbližšího možného zahájení dodávek elektřiny sjednaným s provozovatelem distribuční soustavy</w:t>
      </w:r>
      <w:r w:rsidRPr="003B5753">
        <w:rPr>
          <w:rFonts w:eastAsiaTheme="majorEastAsia" w:cstheme="majorBidi"/>
          <w:color w:val="212121"/>
        </w:rPr>
        <w:t xml:space="preserve"> a</w:t>
      </w:r>
    </w:p>
    <w:p w:rsidR="003B5753" w:rsidRDefault="003B5753" w:rsidP="00EC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eastAsiaTheme="majorEastAsia" w:cstheme="majorBidi"/>
          <w:color w:val="212121"/>
        </w:rPr>
      </w:pPr>
    </w:p>
    <w:p w:rsidR="00F47745" w:rsidRPr="003B5753" w:rsidRDefault="003B5753" w:rsidP="00EC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  <w:r w:rsidRPr="003B5753">
        <w:rPr>
          <w:rFonts w:eastAsiaTheme="majorEastAsia" w:cstheme="majorBidi"/>
          <w:color w:val="212121"/>
        </w:rPr>
        <w:lastRenderedPageBreak/>
        <w:t xml:space="preserve">c) operátor oznámí výsledek posouzení žádosti o změnu dodavatele </w:t>
      </w:r>
      <w:r w:rsidRPr="003B5753">
        <w:rPr>
          <w:rFonts w:eastAsiaTheme="majorEastAsia" w:cstheme="majorBidi"/>
          <w:strike/>
          <w:color w:val="212121"/>
        </w:rPr>
        <w:t>nejpozději do 12.00 hodin čtvrtého pracovního dne po podání této žádosti</w:t>
      </w:r>
      <w:r w:rsidRPr="003B5753">
        <w:rPr>
          <w:rFonts w:eastAsiaTheme="majorEastAsia" w:cstheme="majorBidi"/>
          <w:color w:val="212121"/>
        </w:rPr>
        <w:t xml:space="preserve"> </w:t>
      </w:r>
      <w:r w:rsidRPr="003B5753">
        <w:rPr>
          <w:rFonts w:eastAsiaTheme="majorEastAsia" w:cstheme="majorBidi"/>
          <w:b/>
          <w:bCs/>
          <w:color w:val="212121"/>
        </w:rPr>
        <w:t>neprodleně po provedení všech úkonů podle § 40 odst. 3. písm. b); účinnost změny nastává v den nejbližšího možného zahájení dodávek elektřiny sjednaným s provozovatelem distribuční soustavy.</w:t>
      </w:r>
    </w:p>
    <w:p w:rsidR="00EC583B" w:rsidRDefault="00EC583B" w:rsidP="00EC5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</w:p>
    <w:p w:rsidR="00EC583B" w:rsidRDefault="00EC583B" w:rsidP="00EC583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3752E">
        <w:rPr>
          <w:b/>
        </w:rPr>
        <w:t>O</w:t>
      </w:r>
      <w:r>
        <w:rPr>
          <w:b/>
        </w:rPr>
        <w:t>důvodnění:</w:t>
      </w:r>
    </w:p>
    <w:p w:rsidR="003B5753" w:rsidRDefault="003B5753" w:rsidP="00EC583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3B5753">
        <w:t>Navrhujeme sjednocení pravidel pro změnu dodavatele v případě neoprávněného odběru nebo při jeho předcházení (tzv. přetržky) pro oba sektory, a to po vzoru procesu nastaveného v Pravidlech trhu s plynem tak, aby měl obchodník možnost v obou situacích provést změnu dodavatele v co nejkratším možném termínu a zároveň mohl při předcházení neoprávněného odběru využít co nejzazší termín, který umožňuje systém OTE.</w:t>
      </w:r>
    </w:p>
    <w:p w:rsidR="005842CC" w:rsidRPr="00EC583B" w:rsidRDefault="005842CC" w:rsidP="005842CC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5842CC" w:rsidRDefault="00BA6570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>
        <w:rPr>
          <w:b/>
        </w:rPr>
        <w:t xml:space="preserve">3. </w:t>
      </w:r>
      <w:r w:rsidR="005842CC" w:rsidRPr="00EC583B">
        <w:rPr>
          <w:b/>
        </w:rPr>
        <w:t xml:space="preserve">Připomínka k </w:t>
      </w:r>
      <w:r w:rsidR="005842CC" w:rsidRPr="005842CC">
        <w:rPr>
          <w:b/>
        </w:rPr>
        <w:t>§ 56 odst. 1 a</w:t>
      </w:r>
      <w:r w:rsidR="005842CC">
        <w:rPr>
          <w:b/>
        </w:rPr>
        <w:t>ž 4</w:t>
      </w:r>
      <w:r w:rsidR="005842CC" w:rsidRPr="00F47745">
        <w:rPr>
          <w:b/>
        </w:rPr>
        <w:t xml:space="preserve"> </w:t>
      </w:r>
      <w:r w:rsidR="005842CC">
        <w:rPr>
          <w:b/>
        </w:rPr>
        <w:t xml:space="preserve">- </w:t>
      </w:r>
      <w:r w:rsidR="005842CC" w:rsidRPr="005842CC">
        <w:rPr>
          <w:b/>
        </w:rPr>
        <w:t>Ukončení dodávky elektřiny</w:t>
      </w:r>
    </w:p>
    <w:p w:rsidR="005842CC" w:rsidRPr="00EC583B" w:rsidRDefault="005842CC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</w:p>
    <w:p w:rsidR="005842CC" w:rsidRPr="00E337FB" w:rsidRDefault="005842CC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  <w:r w:rsidRPr="00E337FB">
        <w:t>Navrhujeme upravit znění § 56 odst. 1 až 4 následovně:</w:t>
      </w:r>
    </w:p>
    <w:p w:rsidR="00E337FB" w:rsidRDefault="00E337FB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eastAsiaTheme="majorEastAsia" w:cstheme="majorBidi"/>
          <w:iCs/>
          <w:color w:val="212121"/>
        </w:rPr>
      </w:pPr>
      <w:r w:rsidRPr="00E337FB">
        <w:rPr>
          <w:rFonts w:eastAsiaTheme="majorEastAsia" w:cstheme="majorBidi"/>
          <w:iCs/>
          <w:color w:val="212121"/>
        </w:rPr>
        <w:t xml:space="preserve">(1) V případě neoprávněného odběru elektřiny předává dodavatel provozovateli přenosové nebo distribuční soustavy, ke které jsou připojena odběrná místa, u kterých je požadováno přerušení </w:t>
      </w:r>
      <w:r w:rsidRPr="00E337FB">
        <w:rPr>
          <w:rFonts w:eastAsiaTheme="majorEastAsia" w:cstheme="majorBidi"/>
          <w:b/>
          <w:iCs/>
          <w:color w:val="212121"/>
        </w:rPr>
        <w:t xml:space="preserve">nebo ukončení </w:t>
      </w:r>
      <w:r w:rsidRPr="00E337FB">
        <w:rPr>
          <w:rFonts w:eastAsiaTheme="majorEastAsia" w:cstheme="majorBidi"/>
          <w:iCs/>
          <w:color w:val="212121"/>
        </w:rPr>
        <w:t xml:space="preserve">dodávek elektřiny, žádost o přerušení </w:t>
      </w:r>
      <w:r w:rsidRPr="00E337FB">
        <w:rPr>
          <w:rFonts w:eastAsiaTheme="majorEastAsia" w:cstheme="majorBidi"/>
          <w:b/>
          <w:iCs/>
          <w:color w:val="212121"/>
        </w:rPr>
        <w:t>nebo ukončení</w:t>
      </w:r>
      <w:r w:rsidRPr="00E337FB">
        <w:rPr>
          <w:rFonts w:eastAsiaTheme="majorEastAsia" w:cstheme="majorBidi"/>
          <w:iCs/>
          <w:color w:val="212121"/>
        </w:rPr>
        <w:t xml:space="preserve"> dodávek elektřiny, a to nejpozději 5 pracovních dní přede dnem přerušení </w:t>
      </w:r>
      <w:r w:rsidRPr="00E337FB">
        <w:rPr>
          <w:rFonts w:eastAsiaTheme="majorEastAsia" w:cstheme="majorBidi"/>
          <w:b/>
          <w:iCs/>
          <w:color w:val="212121"/>
        </w:rPr>
        <w:t>nebo ukončení</w:t>
      </w:r>
      <w:r w:rsidRPr="00E337FB">
        <w:rPr>
          <w:rFonts w:eastAsiaTheme="majorEastAsia" w:cstheme="majorBidi"/>
          <w:iCs/>
          <w:color w:val="212121"/>
        </w:rPr>
        <w:t xml:space="preserve"> dodávek elektřiny.</w:t>
      </w:r>
    </w:p>
    <w:p w:rsidR="00E337FB" w:rsidRDefault="00E337FB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eastAsiaTheme="majorEastAsia" w:cstheme="majorBidi"/>
          <w:iCs/>
          <w:color w:val="212121"/>
        </w:rPr>
      </w:pPr>
    </w:p>
    <w:p w:rsidR="00E337FB" w:rsidRDefault="00E337FB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eastAsiaTheme="majorEastAsia" w:cstheme="majorBidi"/>
          <w:iCs/>
          <w:color w:val="212121"/>
        </w:rPr>
      </w:pPr>
      <w:r w:rsidRPr="00E337FB">
        <w:rPr>
          <w:rFonts w:eastAsiaTheme="majorEastAsia" w:cstheme="majorBidi"/>
          <w:iCs/>
          <w:color w:val="212121"/>
        </w:rPr>
        <w:t xml:space="preserve">(2) Provozovatel přenosové soustavy nebo distribuční soustavy informuje po obdržení žádosti podle odstavce 1 nebo v případě neoprávněného přenosu nebo distribuce elektřiny prostřednictvím operátora trhu registrované účastníky trhu s elektřinou, kteří mají u operátora trhu zaregistrovanou přenesenou nebo vlastní odpovědnost za odchylku u odběrných míst, u kterých z nich dojde k přerušení dodávek elektřiny, a to nejpozději 4 pracovní dny přede dnem přerušení </w:t>
      </w:r>
      <w:r w:rsidRPr="00E337FB">
        <w:rPr>
          <w:rFonts w:eastAsiaTheme="majorEastAsia" w:cstheme="majorBidi"/>
          <w:b/>
          <w:iCs/>
          <w:color w:val="212121"/>
        </w:rPr>
        <w:t>nebo ukončení</w:t>
      </w:r>
      <w:r w:rsidRPr="00E337FB">
        <w:rPr>
          <w:rFonts w:eastAsiaTheme="majorEastAsia" w:cstheme="majorBidi"/>
          <w:iCs/>
          <w:color w:val="212121"/>
        </w:rPr>
        <w:t xml:space="preserve"> dodávek elektřiny.</w:t>
      </w:r>
    </w:p>
    <w:p w:rsidR="00E337FB" w:rsidRDefault="00E337FB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eastAsiaTheme="majorEastAsia" w:cstheme="majorBidi"/>
          <w:iCs/>
          <w:color w:val="212121"/>
        </w:rPr>
      </w:pPr>
    </w:p>
    <w:p w:rsidR="00E337FB" w:rsidRDefault="00E337FB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E337FB">
        <w:rPr>
          <w:rFonts w:cs="Arial"/>
        </w:rPr>
        <w:t xml:space="preserve">(3) Provozovatel přenosové nebo distribuční soustavy provede přerušení </w:t>
      </w:r>
      <w:r w:rsidRPr="00E337FB">
        <w:rPr>
          <w:rFonts w:cs="Arial"/>
          <w:b/>
        </w:rPr>
        <w:t>nebo ukončení</w:t>
      </w:r>
      <w:r w:rsidRPr="00E337FB">
        <w:rPr>
          <w:rFonts w:cs="Arial"/>
        </w:rPr>
        <w:t xml:space="preserve"> dodávek elektřiny do 2 pracovních dnů od termínu uvedeného</w:t>
      </w:r>
      <w:r w:rsidRPr="00E337FB">
        <w:rPr>
          <w:rFonts w:cs="Arial"/>
          <w:b/>
        </w:rPr>
        <w:t xml:space="preserve"> </w:t>
      </w:r>
      <w:r w:rsidRPr="00E337FB">
        <w:rPr>
          <w:rFonts w:cs="Arial"/>
        </w:rPr>
        <w:t xml:space="preserve">v žádosti o přerušení </w:t>
      </w:r>
      <w:r w:rsidRPr="00E337FB">
        <w:rPr>
          <w:rFonts w:cs="Arial"/>
          <w:b/>
        </w:rPr>
        <w:t>nebo ukončení</w:t>
      </w:r>
      <w:r w:rsidRPr="00E337FB">
        <w:rPr>
          <w:rFonts w:cs="Arial"/>
        </w:rPr>
        <w:t xml:space="preserve"> dodávek elektřiny. Není-li v případě odběrných míst zákazníků z důvodů hodných zvláštního zřetele možné provést přerušení </w:t>
      </w:r>
      <w:r w:rsidRPr="00E337FB">
        <w:rPr>
          <w:rFonts w:cs="Arial"/>
          <w:b/>
        </w:rPr>
        <w:t>nebo ukončení</w:t>
      </w:r>
      <w:r w:rsidRPr="00E337FB">
        <w:rPr>
          <w:rFonts w:cs="Arial"/>
        </w:rPr>
        <w:t xml:space="preserve"> dodávek elektřiny ve lhůtě podle věty první, informuje provozovatel přenosové nebo distribuční soustavy o této skutečnosti dodavatele, který žádal o přerušení </w:t>
      </w:r>
      <w:r w:rsidRPr="00E337FB">
        <w:rPr>
          <w:rFonts w:cs="Arial"/>
          <w:b/>
        </w:rPr>
        <w:t>nebo ukončení</w:t>
      </w:r>
      <w:r w:rsidRPr="00E337FB">
        <w:rPr>
          <w:rFonts w:cs="Arial"/>
        </w:rPr>
        <w:t xml:space="preserve"> dodávek elektřiny, a provede přerušení </w:t>
      </w:r>
      <w:r w:rsidRPr="00E337FB">
        <w:rPr>
          <w:rFonts w:cs="Arial"/>
          <w:b/>
        </w:rPr>
        <w:t>nebo ukončení</w:t>
      </w:r>
      <w:r w:rsidRPr="00E337FB">
        <w:rPr>
          <w:rFonts w:cs="Arial"/>
        </w:rPr>
        <w:t xml:space="preserve"> dodávek elektřiny nejpozději do 5 pracovních dnů od termínu uvedeného v žádosti. Provozovatel přenosové nebo distribuční soustavy neprovede přerušení </w:t>
      </w:r>
      <w:r w:rsidRPr="00E337FB">
        <w:rPr>
          <w:rFonts w:cs="Arial"/>
          <w:b/>
        </w:rPr>
        <w:t>nebo ukončení</w:t>
      </w:r>
      <w:r w:rsidRPr="00E337FB">
        <w:rPr>
          <w:rFonts w:cs="Arial"/>
        </w:rPr>
        <w:t xml:space="preserve"> dodávek elektřiny v termínu uvedeném v žádosti o přerušení </w:t>
      </w:r>
      <w:r w:rsidRPr="00E337FB">
        <w:rPr>
          <w:rFonts w:cs="Arial"/>
          <w:b/>
        </w:rPr>
        <w:t>nebo ukončení</w:t>
      </w:r>
      <w:r w:rsidRPr="00E337FB">
        <w:rPr>
          <w:rFonts w:cs="Arial"/>
        </w:rPr>
        <w:t xml:space="preserve"> dodávek elektřiny v případě, že je v informačním systému operátora trhu registrována změna dodavatele se začátkem účinnosti do 5 pracovních dnů včetně po požadovaném termínu přerušení </w:t>
      </w:r>
      <w:r w:rsidRPr="00E337FB">
        <w:rPr>
          <w:rFonts w:cs="Arial"/>
          <w:b/>
        </w:rPr>
        <w:t>nebo ukončení</w:t>
      </w:r>
      <w:r w:rsidRPr="00E337FB">
        <w:rPr>
          <w:rFonts w:cs="Arial"/>
        </w:rPr>
        <w:t xml:space="preserve"> dodávek elektřiny.</w:t>
      </w:r>
    </w:p>
    <w:p w:rsidR="00E337FB" w:rsidRDefault="00E337FB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cs="Arial"/>
        </w:rPr>
      </w:pPr>
    </w:p>
    <w:p w:rsidR="005842CC" w:rsidRPr="00E337FB" w:rsidRDefault="00E337FB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  <w:r w:rsidRPr="00E337FB">
        <w:rPr>
          <w:rFonts w:eastAsiaTheme="majorEastAsia" w:cstheme="majorBidi"/>
          <w:iCs/>
          <w:color w:val="212121"/>
        </w:rPr>
        <w:t xml:space="preserve">(4) V případě přerušení </w:t>
      </w:r>
      <w:r w:rsidRPr="00E337FB">
        <w:rPr>
          <w:rFonts w:eastAsiaTheme="majorEastAsia" w:cstheme="majorBidi"/>
          <w:b/>
          <w:iCs/>
          <w:color w:val="212121"/>
        </w:rPr>
        <w:t>nebo ukončení</w:t>
      </w:r>
      <w:r w:rsidRPr="00E337FB">
        <w:rPr>
          <w:rFonts w:eastAsiaTheme="majorEastAsia" w:cstheme="majorBidi"/>
          <w:iCs/>
          <w:color w:val="212121"/>
        </w:rPr>
        <w:t xml:space="preserve"> dodávek elektřiny na základě žádosti podle odstavce 1 nebo z důvodu neoprávněného odběru elektřiny, neoprávněného přenosu nebo neoprávněné distribuce elektřiny informuje provozovatel přenosové nebo distribuční soustavy, ke které je dané odběrné místo připojeno, o této skutečnosti nejpozději následující pracovní den po přerušení </w:t>
      </w:r>
      <w:r w:rsidRPr="00E337FB">
        <w:rPr>
          <w:rFonts w:eastAsiaTheme="majorEastAsia" w:cstheme="majorBidi"/>
          <w:b/>
          <w:iCs/>
          <w:color w:val="212121"/>
        </w:rPr>
        <w:t>nebo ukončení</w:t>
      </w:r>
      <w:r w:rsidRPr="00E337FB">
        <w:rPr>
          <w:rFonts w:eastAsiaTheme="majorEastAsia" w:cstheme="majorBidi"/>
          <w:iCs/>
          <w:color w:val="212121"/>
        </w:rPr>
        <w:t xml:space="preserve"> dodávek elektřiny prostřednictvím informačního systému operátora trhu registrované účastníky trhu s elektřinou, kteří mají u operátora trhu zaregistrovanou přenesenou nebo vlastní odpovědnost za odchylku v tomto odběrném místě. V případě, že při přerušení dodávek elektřiny rovněž dochází k demontáži měřicího zařízení, zasílá provozovatel přenosové nebo distribuční soustavy, ke které je dané odběrné místo připojeno, operátorovi trhu </w:t>
      </w:r>
      <w:r w:rsidRPr="00E337FB">
        <w:rPr>
          <w:rFonts w:eastAsiaTheme="majorEastAsia" w:cstheme="majorBidi"/>
          <w:b/>
          <w:iCs/>
          <w:color w:val="212121"/>
        </w:rPr>
        <w:t xml:space="preserve">a dodavateli elektřiny, který podal žádost o přerušení nebo ukončení dodávek elektřiny </w:t>
      </w:r>
      <w:r w:rsidRPr="00E337FB">
        <w:rPr>
          <w:rFonts w:eastAsiaTheme="majorEastAsia" w:cstheme="majorBidi"/>
          <w:iCs/>
          <w:color w:val="212121"/>
        </w:rPr>
        <w:t xml:space="preserve">rovněž odečet spotřeby ke dni přerušení </w:t>
      </w:r>
      <w:r w:rsidRPr="00E337FB">
        <w:rPr>
          <w:rFonts w:eastAsiaTheme="majorEastAsia" w:cstheme="majorBidi"/>
          <w:b/>
          <w:iCs/>
          <w:color w:val="212121"/>
        </w:rPr>
        <w:t>nebo ukončení</w:t>
      </w:r>
      <w:r w:rsidRPr="00E337FB">
        <w:rPr>
          <w:rFonts w:eastAsiaTheme="majorEastAsia" w:cstheme="majorBidi"/>
          <w:iCs/>
          <w:color w:val="212121"/>
        </w:rPr>
        <w:t xml:space="preserve"> dodávek elektřiny za dané odběrné místo. Odečet je v případě odběrných míst vybavených měřením typu A, B nebo M zasílán v termínech uvedených v § 19 až 22 a v případě odběrných míst vybavených měřením typu C v termínech uvedených v § 41 odst. 2.</w:t>
      </w:r>
    </w:p>
    <w:p w:rsidR="005842CC" w:rsidRDefault="005842CC" w:rsidP="0058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</w:p>
    <w:p w:rsidR="005842CC" w:rsidRDefault="005842CC" w:rsidP="005842C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3752E">
        <w:rPr>
          <w:b/>
        </w:rPr>
        <w:t>O</w:t>
      </w:r>
      <w:r>
        <w:rPr>
          <w:b/>
        </w:rPr>
        <w:t>důvodnění:</w:t>
      </w:r>
    </w:p>
    <w:p w:rsidR="00E337FB" w:rsidRDefault="00E337FB" w:rsidP="005842CC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E337FB">
        <w:t>Navrhujeme ve vyhlášce upravit podrobněji proces pro ukončení dodávky elektřiny s demontáží elektroměru, a tím zajistit sjednocení Pravidel trhu s elektřinou s Pravidly trhu s plynem a zvýšení transparentnosti procesů pro všechny účastníky trhu s elektřinou. Proces ukončování dodávek elektřiny s demontáží elektroměru není ve stávajícím znění vyhlášky náležitě popsán, v praxi se proto vyskytují nejasnosti, jak by mělo v těchto případech postupovat.</w:t>
      </w:r>
    </w:p>
    <w:p w:rsidR="00FE4529" w:rsidRPr="00EC583B" w:rsidRDefault="00FE4529" w:rsidP="00FE4529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FE4529" w:rsidRDefault="00BA6570" w:rsidP="00FE4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4. </w:t>
      </w:r>
      <w:r w:rsidR="00FE4529" w:rsidRPr="00EC583B">
        <w:rPr>
          <w:b/>
        </w:rPr>
        <w:t>Připomínka k</w:t>
      </w:r>
      <w:r w:rsidR="00FE4529">
        <w:rPr>
          <w:b/>
        </w:rPr>
        <w:t xml:space="preserve"> příloze č. 3 - </w:t>
      </w:r>
      <w:r w:rsidR="00FE4529" w:rsidRPr="00FE4529">
        <w:rPr>
          <w:b/>
        </w:rPr>
        <w:t>Prokazování skutečností nebo jejich změn relevantních pro uzavření nebo změnu smlouvy o zajištění služby distribuční soustavy</w:t>
      </w:r>
    </w:p>
    <w:p w:rsidR="00FE4529" w:rsidRDefault="00FE4529" w:rsidP="00FE4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</w:p>
    <w:p w:rsidR="00FE4529" w:rsidRDefault="00FE4529" w:rsidP="00FE4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  <w:r>
        <w:t>Navrhujeme v</w:t>
      </w:r>
      <w:r>
        <w:t xml:space="preserve"> příloze č. 3 </w:t>
      </w:r>
      <w:r>
        <w:t xml:space="preserve">doplnit za větu </w:t>
      </w:r>
      <w:r>
        <w:t>„Prohlášení o správnosti a pravdivosti uvedených údajů.“ následující vět</w:t>
      </w:r>
      <w:r>
        <w:t>u</w:t>
      </w:r>
      <w:r>
        <w:t>:</w:t>
      </w:r>
    </w:p>
    <w:p w:rsidR="00FE4529" w:rsidRPr="00FE4529" w:rsidRDefault="00FE4529" w:rsidP="00FE4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b/>
        </w:rPr>
      </w:pPr>
      <w:r>
        <w:rPr>
          <w:b/>
        </w:rPr>
        <w:t>„</w:t>
      </w:r>
      <w:r w:rsidRPr="00FE4529">
        <w:rPr>
          <w:b/>
        </w:rPr>
        <w:t>Vyžaduje-li to provozovatel distribuční soustavy, prokazují se skutečnosti uvedené v části A nebo jejich změna, s výjimkou bodu 3, doložením čestného prohlášení.</w:t>
      </w:r>
      <w:r>
        <w:rPr>
          <w:b/>
        </w:rPr>
        <w:t>“</w:t>
      </w:r>
    </w:p>
    <w:p w:rsidR="00FE4529" w:rsidRDefault="00FE4529" w:rsidP="00FE4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</w:pPr>
    </w:p>
    <w:p w:rsidR="00FE4529" w:rsidRDefault="00FE4529" w:rsidP="00FE452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  <w:rPr>
          <w:b/>
        </w:rPr>
      </w:pPr>
      <w:r w:rsidRPr="00C3752E">
        <w:rPr>
          <w:b/>
        </w:rPr>
        <w:t>O</w:t>
      </w:r>
      <w:r>
        <w:rPr>
          <w:b/>
        </w:rPr>
        <w:t>důvodnění:</w:t>
      </w:r>
    </w:p>
    <w:p w:rsidR="00FE4529" w:rsidRDefault="00FE4529" w:rsidP="00FE452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/>
        <w:jc w:val="both"/>
      </w:pPr>
      <w:r w:rsidRPr="00FE4529">
        <w:t>Navrhuje</w:t>
      </w:r>
      <w:r>
        <w:t>me</w:t>
      </w:r>
      <w:r w:rsidRPr="00FE4529">
        <w:t xml:space="preserve"> sjednotit přístup provozovatelů distribuční soustavy v případě změny skutečností relevantních pro změnu smlouvy o zajištění služby distribuční soustavy. V případě podání žádosti o uzavření smlouvy o zajištění služby distribuční soustavy je ve většině případů dostačující, pokud žadatel údaje v rozsahu části A (údaje o žadateli) přílohy č. 3 vyhlášky pouze vyplní ve formuláři příslušného provozovatele distribuční soustavy. Naopak, je-li požadována změna smlouvy o zajištění služby distribuční soustavy z důvodu změny některé ze skutečností uvedených v části A přílohy č. 3 vyhlášky, vyžadují někteří provozovatelé distribuční soustavy prokazování těchto změn i doložením např. osobních či jiných dokladů. Navrhuje se proto stanovit jednotný postup co do rozsahu požadovaných dokladů jak v případě uzavření výše uvedené smlouvy, tak pro případ její změny z důvodu změny skutečností uvedených v části A přílohy č. 3 vyhlášky.</w:t>
      </w:r>
    </w:p>
    <w:p w:rsidR="00FE4529" w:rsidRPr="00EC583B" w:rsidRDefault="00FE4529" w:rsidP="00FE4529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3B5753" w:rsidRDefault="003B5753" w:rsidP="00EC583B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3B5753" w:rsidRDefault="003B5753" w:rsidP="00EC583B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3B5753" w:rsidRDefault="003B5753" w:rsidP="00EC583B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3B5753" w:rsidRDefault="003B5753" w:rsidP="00EC583B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3B5753" w:rsidRPr="00EC583B" w:rsidRDefault="003B5753" w:rsidP="00EC583B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</w:p>
    <w:p w:rsidR="00EC583B" w:rsidRPr="00EC583B" w:rsidRDefault="00EC583B" w:rsidP="00E02E9C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</w:pPr>
      <w:r>
        <w:t xml:space="preserve">V Praze dne </w:t>
      </w:r>
      <w:r w:rsidR="003B5753">
        <w:t>8</w:t>
      </w:r>
      <w:r>
        <w:t>. 1</w:t>
      </w:r>
      <w:r w:rsidR="003B5753">
        <w:t>2</w:t>
      </w:r>
      <w:r>
        <w:t>. 2016</w:t>
      </w:r>
      <w:r w:rsidR="00C92204">
        <w:t>.</w:t>
      </w:r>
    </w:p>
    <w:sectPr w:rsidR="00EC583B" w:rsidRPr="00EC583B" w:rsidSect="00C92204">
      <w:headerReference w:type="default" r:id="rId8"/>
      <w:footerReference w:type="default" r:id="rId9"/>
      <w:headerReference w:type="first" r:id="rId10"/>
      <w:pgSz w:w="11906" w:h="16838" w:code="9"/>
      <w:pgMar w:top="673" w:right="1418" w:bottom="709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AA4" w:rsidRDefault="00034AA4" w:rsidP="00EC583B">
      <w:pPr>
        <w:spacing w:after="0" w:line="240" w:lineRule="auto"/>
      </w:pPr>
      <w:r>
        <w:separator/>
      </w:r>
    </w:p>
  </w:endnote>
  <w:endnote w:type="continuationSeparator" w:id="0">
    <w:p w:rsidR="00034AA4" w:rsidRDefault="00034AA4" w:rsidP="00EC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2509"/>
      <w:docPartObj>
        <w:docPartGallery w:val="Page Numbers (Bottom of Page)"/>
        <w:docPartUnique/>
      </w:docPartObj>
    </w:sdtPr>
    <w:sdtContent>
      <w:p w:rsidR="00C92204" w:rsidRDefault="000349DB">
        <w:pPr>
          <w:pStyle w:val="Zpat"/>
          <w:jc w:val="center"/>
        </w:pPr>
        <w:fldSimple w:instr=" PAGE   \* MERGEFORMAT ">
          <w:r w:rsidR="00BA6570">
            <w:rPr>
              <w:noProof/>
            </w:rPr>
            <w:t>3</w:t>
          </w:r>
        </w:fldSimple>
      </w:p>
    </w:sdtContent>
  </w:sdt>
  <w:p w:rsidR="00EC583B" w:rsidRDefault="00EC58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AA4" w:rsidRDefault="00034AA4" w:rsidP="00EC583B">
      <w:pPr>
        <w:spacing w:after="0" w:line="240" w:lineRule="auto"/>
      </w:pPr>
      <w:r>
        <w:separator/>
      </w:r>
    </w:p>
  </w:footnote>
  <w:footnote w:type="continuationSeparator" w:id="0">
    <w:p w:rsidR="00034AA4" w:rsidRDefault="00034AA4" w:rsidP="00EC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3B" w:rsidRDefault="00EC583B" w:rsidP="00EC583B">
    <w:pPr>
      <w:pStyle w:val="Zhlav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83B" w:rsidRDefault="00EC583B" w:rsidP="00EC583B">
    <w:pPr>
      <w:pStyle w:val="Zhlav"/>
      <w:jc w:val="center"/>
    </w:pPr>
    <w:r w:rsidRPr="00EC583B">
      <w:rPr>
        <w:noProof/>
        <w:lang w:eastAsia="cs-CZ"/>
      </w:rPr>
      <w:drawing>
        <wp:inline distT="0" distB="0" distL="0" distR="0">
          <wp:extent cx="2695575" cy="695325"/>
          <wp:effectExtent l="19050" t="0" r="9525" b="0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86" cy="695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2204" w:rsidRPr="00C92204" w:rsidRDefault="00C92204" w:rsidP="00EC583B">
    <w:pPr>
      <w:pStyle w:val="Zhlav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50D"/>
    <w:multiLevelType w:val="hybridMultilevel"/>
    <w:tmpl w:val="1748A934"/>
    <w:lvl w:ilvl="0" w:tplc="AFA4C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2ABB"/>
    <w:multiLevelType w:val="hybridMultilevel"/>
    <w:tmpl w:val="FACABB22"/>
    <w:lvl w:ilvl="0" w:tplc="88DA91F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F42B7"/>
    <w:multiLevelType w:val="hybridMultilevel"/>
    <w:tmpl w:val="80E2CB3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E155C"/>
    <w:multiLevelType w:val="hybridMultilevel"/>
    <w:tmpl w:val="1AA212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76731"/>
    <w:multiLevelType w:val="hybridMultilevel"/>
    <w:tmpl w:val="D2F0C802"/>
    <w:lvl w:ilvl="0" w:tplc="5E7C3FA4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565D8"/>
    <w:multiLevelType w:val="hybridMultilevel"/>
    <w:tmpl w:val="5D70E5EE"/>
    <w:lvl w:ilvl="0" w:tplc="13367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30F5B"/>
    <w:rsid w:val="0000748C"/>
    <w:rsid w:val="00025760"/>
    <w:rsid w:val="00030F5B"/>
    <w:rsid w:val="000349DB"/>
    <w:rsid w:val="00034AA4"/>
    <w:rsid w:val="00085B92"/>
    <w:rsid w:val="000B5F11"/>
    <w:rsid w:val="00102933"/>
    <w:rsid w:val="00193D68"/>
    <w:rsid w:val="001B5C83"/>
    <w:rsid w:val="001E276E"/>
    <w:rsid w:val="001F4636"/>
    <w:rsid w:val="00241F59"/>
    <w:rsid w:val="002515A5"/>
    <w:rsid w:val="00263AFD"/>
    <w:rsid w:val="00276473"/>
    <w:rsid w:val="002B3746"/>
    <w:rsid w:val="002F2828"/>
    <w:rsid w:val="002F792F"/>
    <w:rsid w:val="00302F26"/>
    <w:rsid w:val="0032279B"/>
    <w:rsid w:val="00324F39"/>
    <w:rsid w:val="00327F99"/>
    <w:rsid w:val="00376877"/>
    <w:rsid w:val="00381EA0"/>
    <w:rsid w:val="00383044"/>
    <w:rsid w:val="00385822"/>
    <w:rsid w:val="003A2D75"/>
    <w:rsid w:val="003B5753"/>
    <w:rsid w:val="003D2DAA"/>
    <w:rsid w:val="003E26AC"/>
    <w:rsid w:val="00402E21"/>
    <w:rsid w:val="004238B4"/>
    <w:rsid w:val="004325EC"/>
    <w:rsid w:val="0048475A"/>
    <w:rsid w:val="00493533"/>
    <w:rsid w:val="004D5CCD"/>
    <w:rsid w:val="00503560"/>
    <w:rsid w:val="00503F7D"/>
    <w:rsid w:val="00535CAD"/>
    <w:rsid w:val="00552556"/>
    <w:rsid w:val="005664DD"/>
    <w:rsid w:val="005842CC"/>
    <w:rsid w:val="00595359"/>
    <w:rsid w:val="005B1309"/>
    <w:rsid w:val="005B3D76"/>
    <w:rsid w:val="005C70D0"/>
    <w:rsid w:val="00663593"/>
    <w:rsid w:val="00674FEE"/>
    <w:rsid w:val="00691289"/>
    <w:rsid w:val="006A7A9A"/>
    <w:rsid w:val="006C7CE9"/>
    <w:rsid w:val="006E3A8F"/>
    <w:rsid w:val="007069C5"/>
    <w:rsid w:val="0077211F"/>
    <w:rsid w:val="0078571A"/>
    <w:rsid w:val="007E58AF"/>
    <w:rsid w:val="0081645A"/>
    <w:rsid w:val="00837558"/>
    <w:rsid w:val="00844545"/>
    <w:rsid w:val="0085074D"/>
    <w:rsid w:val="00867D97"/>
    <w:rsid w:val="00873A04"/>
    <w:rsid w:val="008A52AE"/>
    <w:rsid w:val="008D27E7"/>
    <w:rsid w:val="008E140E"/>
    <w:rsid w:val="008F1D8D"/>
    <w:rsid w:val="00902AC4"/>
    <w:rsid w:val="009205EA"/>
    <w:rsid w:val="00934F0B"/>
    <w:rsid w:val="00950081"/>
    <w:rsid w:val="009A08CE"/>
    <w:rsid w:val="009B3460"/>
    <w:rsid w:val="009C28C1"/>
    <w:rsid w:val="00A0284F"/>
    <w:rsid w:val="00A45A4F"/>
    <w:rsid w:val="00AC3D97"/>
    <w:rsid w:val="00AC6BB7"/>
    <w:rsid w:val="00AD4F46"/>
    <w:rsid w:val="00B40EC9"/>
    <w:rsid w:val="00B74108"/>
    <w:rsid w:val="00BA05C8"/>
    <w:rsid w:val="00BA6570"/>
    <w:rsid w:val="00BF710E"/>
    <w:rsid w:val="00C002C0"/>
    <w:rsid w:val="00C16795"/>
    <w:rsid w:val="00C23AC1"/>
    <w:rsid w:val="00C3752E"/>
    <w:rsid w:val="00C82487"/>
    <w:rsid w:val="00C92204"/>
    <w:rsid w:val="00CE2836"/>
    <w:rsid w:val="00D23F90"/>
    <w:rsid w:val="00DA1C38"/>
    <w:rsid w:val="00DC3EB8"/>
    <w:rsid w:val="00DD3281"/>
    <w:rsid w:val="00DE3A9D"/>
    <w:rsid w:val="00DE762E"/>
    <w:rsid w:val="00E01DF3"/>
    <w:rsid w:val="00E02E9C"/>
    <w:rsid w:val="00E15B76"/>
    <w:rsid w:val="00E26016"/>
    <w:rsid w:val="00E337FB"/>
    <w:rsid w:val="00E708F1"/>
    <w:rsid w:val="00E710D4"/>
    <w:rsid w:val="00EA46ED"/>
    <w:rsid w:val="00EB0B12"/>
    <w:rsid w:val="00EB5907"/>
    <w:rsid w:val="00EC583B"/>
    <w:rsid w:val="00EE4F03"/>
    <w:rsid w:val="00F1590F"/>
    <w:rsid w:val="00F47745"/>
    <w:rsid w:val="00FA2E37"/>
    <w:rsid w:val="00FC6417"/>
    <w:rsid w:val="00FE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Theme="minorHAnsi" w:hAnsi="Franklin Gothic Book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E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0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375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C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C583B"/>
  </w:style>
  <w:style w:type="paragraph" w:styleId="Zpat">
    <w:name w:val="footer"/>
    <w:basedOn w:val="Normln"/>
    <w:link w:val="ZpatChar"/>
    <w:uiPriority w:val="99"/>
    <w:unhideWhenUsed/>
    <w:rsid w:val="00EC5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83B"/>
  </w:style>
  <w:style w:type="paragraph" w:styleId="Textbubliny">
    <w:name w:val="Balloon Text"/>
    <w:basedOn w:val="Normln"/>
    <w:link w:val="TextbublinyChar"/>
    <w:uiPriority w:val="99"/>
    <w:semiHidden/>
    <w:unhideWhenUsed/>
    <w:rsid w:val="00EC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83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7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E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7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tomas.pecanek@cgo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1322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ČPS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Pecanek</dc:creator>
  <cp:lastModifiedBy>Pecanek 2</cp:lastModifiedBy>
  <cp:revision>8</cp:revision>
  <dcterms:created xsi:type="dcterms:W3CDTF">2016-12-08T13:28:00Z</dcterms:created>
  <dcterms:modified xsi:type="dcterms:W3CDTF">2016-12-08T13:55:00Z</dcterms:modified>
</cp:coreProperties>
</file>