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01" w:rsidRPr="00D44B65" w:rsidRDefault="002C622C" w:rsidP="00DD750B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4B65">
        <w:rPr>
          <w:rFonts w:ascii="Arial" w:hAnsi="Arial" w:cs="Arial"/>
          <w:b/>
          <w:sz w:val="28"/>
          <w:szCs w:val="28"/>
        </w:rPr>
        <w:t xml:space="preserve">Komentář </w:t>
      </w:r>
      <w:r w:rsidR="00DD750B" w:rsidRPr="00D44B65">
        <w:rPr>
          <w:rFonts w:ascii="Arial" w:hAnsi="Arial" w:cs="Arial"/>
          <w:b/>
          <w:sz w:val="28"/>
          <w:szCs w:val="28"/>
        </w:rPr>
        <w:t>ČPS k</w:t>
      </w:r>
      <w:r w:rsidR="00507A7E" w:rsidRPr="00D44B65">
        <w:rPr>
          <w:rFonts w:ascii="Arial" w:hAnsi="Arial" w:cs="Arial"/>
          <w:b/>
          <w:sz w:val="28"/>
          <w:szCs w:val="28"/>
        </w:rPr>
        <w:t> materiálu</w:t>
      </w:r>
      <w:r w:rsidR="00507A7E" w:rsidRPr="00D44B65">
        <w:rPr>
          <w:rFonts w:ascii="Arial" w:hAnsi="Arial" w:cs="Arial"/>
          <w:b/>
          <w:sz w:val="28"/>
          <w:szCs w:val="28"/>
        </w:rPr>
        <w:br/>
        <w:t>Uplatnění principu solidarity obsaženého v návrhu revize nařízení 994/2010 o opatřeních na zajištění bezpečnosti dodávek zemního plynu</w:t>
      </w:r>
      <w:r w:rsidR="00044CE3" w:rsidRPr="00D44B65">
        <w:rPr>
          <w:rFonts w:ascii="Arial" w:hAnsi="Arial" w:cs="Arial"/>
          <w:b/>
          <w:sz w:val="28"/>
          <w:szCs w:val="28"/>
        </w:rPr>
        <w:t xml:space="preserve"> jako </w:t>
      </w:r>
      <w:r w:rsidRPr="00D44B65">
        <w:rPr>
          <w:rFonts w:ascii="Arial" w:hAnsi="Arial" w:cs="Arial"/>
          <w:b/>
          <w:sz w:val="28"/>
          <w:szCs w:val="28"/>
        </w:rPr>
        <w:t>diskusní</w:t>
      </w:r>
      <w:r w:rsidR="00A5015F" w:rsidRPr="00D44B65">
        <w:rPr>
          <w:rFonts w:ascii="Arial" w:hAnsi="Arial" w:cs="Arial"/>
          <w:b/>
          <w:sz w:val="28"/>
          <w:szCs w:val="28"/>
        </w:rPr>
        <w:t>ho</w:t>
      </w:r>
      <w:r w:rsidR="00507A7E" w:rsidRPr="00D44B65">
        <w:rPr>
          <w:rFonts w:ascii="Arial" w:hAnsi="Arial" w:cs="Arial"/>
          <w:b/>
          <w:sz w:val="28"/>
          <w:szCs w:val="28"/>
        </w:rPr>
        <w:t xml:space="preserve"> </w:t>
      </w:r>
      <w:r w:rsidRPr="00D44B65">
        <w:rPr>
          <w:rFonts w:ascii="Arial" w:hAnsi="Arial" w:cs="Arial"/>
          <w:b/>
          <w:sz w:val="28"/>
          <w:szCs w:val="28"/>
        </w:rPr>
        <w:t>dokumentu Koordinační skupiny pro otázky plynu</w:t>
      </w:r>
    </w:p>
    <w:p w:rsidR="002C622C" w:rsidRPr="00D44B65" w:rsidRDefault="002C622C" w:rsidP="00FA49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2E0E" w:rsidRDefault="00A772CA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 xml:space="preserve">Vítáme cíl předloženého dokumentu, kterým je detailnější rozpracování implementace principu </w:t>
      </w:r>
      <w:r w:rsidR="00292BE2" w:rsidRPr="00D44B65">
        <w:rPr>
          <w:rFonts w:ascii="Arial" w:hAnsi="Arial" w:cs="Arial"/>
          <w:sz w:val="24"/>
          <w:szCs w:val="24"/>
        </w:rPr>
        <w:t>solidarity</w:t>
      </w:r>
      <w:r w:rsidRPr="00D44B65">
        <w:rPr>
          <w:rFonts w:ascii="Arial" w:hAnsi="Arial" w:cs="Arial"/>
          <w:sz w:val="24"/>
          <w:szCs w:val="24"/>
        </w:rPr>
        <w:t xml:space="preserve"> nově uvedeného v čl. 12 návrhu nařízení 994/2010 o opatřeních na zajištění bezpečnosti dodávek zemního plynu</w:t>
      </w:r>
      <w:r w:rsidR="000A3E50" w:rsidRPr="00D44B65">
        <w:rPr>
          <w:rFonts w:ascii="Arial" w:hAnsi="Arial" w:cs="Arial"/>
          <w:sz w:val="24"/>
          <w:szCs w:val="24"/>
        </w:rPr>
        <w:t xml:space="preserve"> (dále jen „Nařízení“)</w:t>
      </w:r>
      <w:r w:rsidRPr="00D44B65">
        <w:rPr>
          <w:rFonts w:ascii="Arial" w:hAnsi="Arial" w:cs="Arial"/>
          <w:sz w:val="24"/>
          <w:szCs w:val="24"/>
        </w:rPr>
        <w:t xml:space="preserve">. </w:t>
      </w:r>
      <w:r w:rsidR="00551796" w:rsidRPr="00D44B65">
        <w:rPr>
          <w:rFonts w:ascii="Arial" w:hAnsi="Arial" w:cs="Arial"/>
          <w:sz w:val="24"/>
          <w:szCs w:val="24"/>
        </w:rPr>
        <w:t xml:space="preserve">Dokument však dle našeho názoru tento cíl nenaplňuje, když uvádí pouze obecné principy a doporučení, </w:t>
      </w:r>
      <w:r w:rsidR="008D2855">
        <w:rPr>
          <w:rFonts w:ascii="Arial" w:hAnsi="Arial" w:cs="Arial"/>
          <w:sz w:val="24"/>
          <w:szCs w:val="24"/>
        </w:rPr>
        <w:t xml:space="preserve">které na nejdůležitější </w:t>
      </w:r>
      <w:r w:rsidR="006C2E0E">
        <w:rPr>
          <w:rFonts w:ascii="Arial" w:hAnsi="Arial" w:cs="Arial"/>
          <w:sz w:val="24"/>
          <w:szCs w:val="24"/>
        </w:rPr>
        <w:t>otázky spojené s realizací</w:t>
      </w:r>
      <w:r w:rsidR="008D2855">
        <w:rPr>
          <w:rFonts w:ascii="Arial" w:hAnsi="Arial" w:cs="Arial"/>
          <w:sz w:val="24"/>
          <w:szCs w:val="24"/>
        </w:rPr>
        <w:t xml:space="preserve"> principu solidarity</w:t>
      </w:r>
      <w:r w:rsidR="006A6A70" w:rsidRPr="006A6A70">
        <w:rPr>
          <w:rFonts w:ascii="Arial" w:hAnsi="Arial" w:cs="Arial"/>
          <w:sz w:val="24"/>
          <w:szCs w:val="24"/>
        </w:rPr>
        <w:t xml:space="preserve"> </w:t>
      </w:r>
      <w:r w:rsidR="006A6A70">
        <w:rPr>
          <w:rFonts w:ascii="Arial" w:hAnsi="Arial" w:cs="Arial"/>
          <w:sz w:val="24"/>
          <w:szCs w:val="24"/>
        </w:rPr>
        <w:t>neodpovídají</w:t>
      </w:r>
      <w:r w:rsidR="008D2855">
        <w:rPr>
          <w:rFonts w:ascii="Arial" w:hAnsi="Arial" w:cs="Arial"/>
          <w:sz w:val="24"/>
          <w:szCs w:val="24"/>
        </w:rPr>
        <w:t xml:space="preserve">. </w:t>
      </w:r>
    </w:p>
    <w:p w:rsidR="00881B85" w:rsidRDefault="00881B85" w:rsidP="00FA49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ECB" w:rsidRDefault="00B05ECB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Před zavedením institutu</w:t>
      </w:r>
      <w:r>
        <w:rPr>
          <w:rFonts w:ascii="Arial" w:hAnsi="Arial" w:cs="Arial"/>
          <w:sz w:val="24"/>
          <w:szCs w:val="24"/>
        </w:rPr>
        <w:t xml:space="preserve"> solidarity</w:t>
      </w:r>
      <w:r w:rsidRPr="00D44B65">
        <w:rPr>
          <w:rFonts w:ascii="Arial" w:hAnsi="Arial" w:cs="Arial"/>
          <w:sz w:val="24"/>
          <w:szCs w:val="24"/>
        </w:rPr>
        <w:t xml:space="preserve"> do právního řádu EU je bezpodmínečně nutné vyřešit závazkové vztahy nejen mezi jednotlivými státy, ale především mezi členským státem a plynárenskými podniky</w:t>
      </w:r>
      <w:r>
        <w:rPr>
          <w:rFonts w:ascii="Arial" w:hAnsi="Arial" w:cs="Arial"/>
          <w:sz w:val="24"/>
          <w:szCs w:val="24"/>
        </w:rPr>
        <w:t xml:space="preserve"> a</w:t>
      </w:r>
      <w:r w:rsidRPr="00D44B65">
        <w:rPr>
          <w:rFonts w:ascii="Arial" w:hAnsi="Arial" w:cs="Arial"/>
          <w:sz w:val="24"/>
          <w:szCs w:val="24"/>
        </w:rPr>
        <w:t xml:space="preserve"> zákazníky</w:t>
      </w:r>
      <w:r>
        <w:rPr>
          <w:rFonts w:ascii="Arial" w:hAnsi="Arial" w:cs="Arial"/>
          <w:sz w:val="24"/>
          <w:szCs w:val="24"/>
        </w:rPr>
        <w:t xml:space="preserve"> využívající princip solidarity.</w:t>
      </w:r>
    </w:p>
    <w:p w:rsidR="00B05ECB" w:rsidRDefault="00B05ECB" w:rsidP="00FA49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47CC" w:rsidRDefault="001D7BF9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Zcela zásadní pro efektivní uplatnění principu solidarity je dořešení otázek souvisejících s kompenzací škod vzniklých zákazníkům v členských státech, které byly povinny omezit dodávky ve prospěch zákazníků v sousedních členských státech. Z navrženého dokumentu jednoznačně nevyplývá, jaký subjekt </w:t>
      </w:r>
      <w:r w:rsidR="000A722D">
        <w:rPr>
          <w:rFonts w:ascii="Arial" w:hAnsi="Arial" w:cs="Arial"/>
          <w:sz w:val="24"/>
          <w:szCs w:val="24"/>
        </w:rPr>
        <w:t xml:space="preserve">bude tuto kompenzaci poskytovat ani </w:t>
      </w:r>
      <w:r w:rsidR="00DC66BC">
        <w:rPr>
          <w:rFonts w:ascii="Arial" w:hAnsi="Arial" w:cs="Arial"/>
          <w:sz w:val="24"/>
          <w:szCs w:val="24"/>
        </w:rPr>
        <w:t>na základě čeho bude stanovena je</w:t>
      </w:r>
      <w:r w:rsidR="00440E74">
        <w:rPr>
          <w:rFonts w:ascii="Arial" w:hAnsi="Arial" w:cs="Arial"/>
          <w:sz w:val="24"/>
          <w:szCs w:val="24"/>
        </w:rPr>
        <w:t>jí</w:t>
      </w:r>
      <w:r w:rsidR="00DC66BC">
        <w:rPr>
          <w:rFonts w:ascii="Arial" w:hAnsi="Arial" w:cs="Arial"/>
          <w:sz w:val="24"/>
          <w:szCs w:val="24"/>
        </w:rPr>
        <w:t xml:space="preserve"> výše</w:t>
      </w:r>
      <w:r w:rsidR="000A722D">
        <w:rPr>
          <w:rFonts w:ascii="Arial" w:hAnsi="Arial" w:cs="Arial"/>
          <w:sz w:val="24"/>
          <w:szCs w:val="24"/>
        </w:rPr>
        <w:t xml:space="preserve">. </w:t>
      </w:r>
    </w:p>
    <w:p w:rsidR="005D47CC" w:rsidRDefault="005D47CC" w:rsidP="00FA49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47CC" w:rsidRDefault="00343BBB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Nelze </w:t>
      </w:r>
      <w:r w:rsidR="00DE4420">
        <w:rPr>
          <w:rFonts w:ascii="Arial" w:hAnsi="Arial" w:cs="Arial"/>
          <w:sz w:val="24"/>
          <w:szCs w:val="24"/>
        </w:rPr>
        <w:t>podpořit tvrzení</w:t>
      </w:r>
      <w:r>
        <w:rPr>
          <w:rFonts w:ascii="Arial" w:hAnsi="Arial" w:cs="Arial"/>
          <w:sz w:val="24"/>
          <w:szCs w:val="24"/>
        </w:rPr>
        <w:t xml:space="preserve">, že příjemci podpory ve smyslu uplatnění principu solidarity a tedy zřejmě i subjekty odpovídající za kompenzaci jsou zákazníci. Lze předpokládat, že </w:t>
      </w:r>
      <w:r w:rsidR="00DE442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 xml:space="preserve">takovém případě by </w:t>
      </w:r>
      <w:r w:rsidR="00DE4420">
        <w:rPr>
          <w:rFonts w:ascii="Arial" w:hAnsi="Arial" w:cs="Arial"/>
          <w:sz w:val="24"/>
          <w:szCs w:val="24"/>
        </w:rPr>
        <w:t>kompenzace nemusela být realizována</w:t>
      </w:r>
      <w:r w:rsidR="00DC66BC">
        <w:rPr>
          <w:rFonts w:ascii="Arial" w:hAnsi="Arial" w:cs="Arial"/>
          <w:sz w:val="24"/>
          <w:szCs w:val="24"/>
        </w:rPr>
        <w:t xml:space="preserve"> v plné výši</w:t>
      </w:r>
      <w:r w:rsidR="00DE4420">
        <w:rPr>
          <w:rFonts w:ascii="Arial" w:hAnsi="Arial" w:cs="Arial"/>
          <w:sz w:val="24"/>
          <w:szCs w:val="24"/>
        </w:rPr>
        <w:t>, což by vedlo k dalším rizikům na straně zúčastněných subjektů.</w:t>
      </w:r>
    </w:p>
    <w:p w:rsidR="005D47CC" w:rsidRDefault="005D47CC" w:rsidP="00FA49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2855" w:rsidRPr="00D44B65" w:rsidRDefault="000A722D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Tzv. s</w:t>
      </w:r>
      <w:r w:rsidR="00C424E5">
        <w:rPr>
          <w:rFonts w:ascii="Arial" w:hAnsi="Arial" w:cs="Arial"/>
          <w:sz w:val="24"/>
          <w:szCs w:val="24"/>
        </w:rPr>
        <w:t xml:space="preserve">ystém </w:t>
      </w:r>
      <w:proofErr w:type="spellStart"/>
      <w:r w:rsidR="00C424E5">
        <w:rPr>
          <w:rFonts w:ascii="Arial" w:hAnsi="Arial" w:cs="Arial"/>
          <w:sz w:val="24"/>
          <w:szCs w:val="24"/>
        </w:rPr>
        <w:t>Vo</w:t>
      </w:r>
      <w:r>
        <w:rPr>
          <w:rFonts w:ascii="Arial" w:hAnsi="Arial" w:cs="Arial"/>
          <w:sz w:val="24"/>
          <w:szCs w:val="24"/>
        </w:rPr>
        <w:t>LL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C424E5">
        <w:rPr>
          <w:rFonts w:ascii="Arial" w:hAnsi="Arial" w:cs="Arial"/>
          <w:sz w:val="24"/>
          <w:szCs w:val="24"/>
        </w:rPr>
        <w:t>Value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D3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D3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oad</w:t>
      </w:r>
      <w:proofErr w:type="spellEnd"/>
      <w:r>
        <w:rPr>
          <w:rFonts w:ascii="Arial" w:hAnsi="Arial" w:cs="Arial"/>
          <w:sz w:val="24"/>
          <w:szCs w:val="24"/>
        </w:rPr>
        <w:t xml:space="preserve">“) </w:t>
      </w:r>
      <w:r w:rsidR="00F01D31">
        <w:rPr>
          <w:rFonts w:ascii="Arial" w:hAnsi="Arial" w:cs="Arial"/>
          <w:sz w:val="24"/>
          <w:szCs w:val="24"/>
        </w:rPr>
        <w:t xml:space="preserve">uvedený jako jeden ze způsobů stanovení výše kompenzace </w:t>
      </w:r>
      <w:r w:rsidR="00B05ECB">
        <w:rPr>
          <w:rFonts w:ascii="Arial" w:hAnsi="Arial" w:cs="Arial"/>
          <w:sz w:val="24"/>
          <w:szCs w:val="24"/>
        </w:rPr>
        <w:t>je možno považovat</w:t>
      </w:r>
      <w:r w:rsidR="00F01D31">
        <w:rPr>
          <w:rFonts w:ascii="Arial" w:hAnsi="Arial" w:cs="Arial"/>
          <w:sz w:val="24"/>
          <w:szCs w:val="24"/>
        </w:rPr>
        <w:t xml:space="preserve"> za obecně správný. Za předpokladu j</w:t>
      </w:r>
      <w:r w:rsidR="005D47CC">
        <w:rPr>
          <w:rFonts w:ascii="Arial" w:hAnsi="Arial" w:cs="Arial"/>
          <w:sz w:val="24"/>
          <w:szCs w:val="24"/>
        </w:rPr>
        <w:t xml:space="preserve">eho </w:t>
      </w:r>
      <w:r w:rsidR="00F01D31">
        <w:rPr>
          <w:rFonts w:ascii="Arial" w:hAnsi="Arial" w:cs="Arial"/>
          <w:sz w:val="24"/>
          <w:szCs w:val="24"/>
        </w:rPr>
        <w:t>aplikace</w:t>
      </w:r>
      <w:r w:rsidR="005D47CC">
        <w:rPr>
          <w:rFonts w:ascii="Arial" w:hAnsi="Arial" w:cs="Arial"/>
          <w:sz w:val="24"/>
          <w:szCs w:val="24"/>
        </w:rPr>
        <w:t xml:space="preserve"> </w:t>
      </w:r>
      <w:r w:rsidR="00F01D31">
        <w:rPr>
          <w:rFonts w:ascii="Arial" w:hAnsi="Arial" w:cs="Arial"/>
          <w:sz w:val="24"/>
          <w:szCs w:val="24"/>
        </w:rPr>
        <w:t xml:space="preserve">však </w:t>
      </w:r>
      <w:r w:rsidR="005D47CC">
        <w:rPr>
          <w:rFonts w:ascii="Arial" w:hAnsi="Arial" w:cs="Arial"/>
          <w:sz w:val="24"/>
          <w:szCs w:val="24"/>
        </w:rPr>
        <w:t xml:space="preserve">lze dojít </w:t>
      </w:r>
      <w:r w:rsidR="00F01D31">
        <w:rPr>
          <w:rFonts w:ascii="Arial" w:hAnsi="Arial" w:cs="Arial"/>
          <w:sz w:val="24"/>
          <w:szCs w:val="24"/>
        </w:rPr>
        <w:t xml:space="preserve">k závěru, že nebude existovat </w:t>
      </w:r>
      <w:r w:rsidR="005D47CC">
        <w:rPr>
          <w:rFonts w:ascii="Arial" w:hAnsi="Arial" w:cs="Arial"/>
          <w:sz w:val="24"/>
          <w:szCs w:val="24"/>
        </w:rPr>
        <w:t>významnější</w:t>
      </w:r>
      <w:r w:rsidR="00F01D31">
        <w:rPr>
          <w:rFonts w:ascii="Arial" w:hAnsi="Arial" w:cs="Arial"/>
          <w:sz w:val="24"/>
          <w:szCs w:val="24"/>
        </w:rPr>
        <w:t xml:space="preserve"> prostor pro </w:t>
      </w:r>
      <w:r w:rsidR="005D47CC">
        <w:rPr>
          <w:rFonts w:ascii="Arial" w:hAnsi="Arial" w:cs="Arial"/>
          <w:sz w:val="24"/>
          <w:szCs w:val="24"/>
        </w:rPr>
        <w:t xml:space="preserve">využití tržních principů v rámci uplatnění principu solidarity. Důvodem je obecně vyšší hodnota </w:t>
      </w:r>
      <w:proofErr w:type="spellStart"/>
      <w:r w:rsidR="00DE4420">
        <w:rPr>
          <w:rFonts w:ascii="Arial" w:hAnsi="Arial" w:cs="Arial"/>
          <w:sz w:val="24"/>
          <w:szCs w:val="24"/>
        </w:rPr>
        <w:t>VoLL</w:t>
      </w:r>
      <w:proofErr w:type="spellEnd"/>
      <w:r w:rsidR="00DE4420">
        <w:rPr>
          <w:rFonts w:ascii="Arial" w:hAnsi="Arial" w:cs="Arial"/>
          <w:sz w:val="24"/>
          <w:szCs w:val="24"/>
        </w:rPr>
        <w:t xml:space="preserve"> u zákazníků</w:t>
      </w:r>
      <w:r w:rsidR="005D47CC">
        <w:rPr>
          <w:rFonts w:ascii="Arial" w:hAnsi="Arial" w:cs="Arial"/>
          <w:sz w:val="24"/>
          <w:szCs w:val="24"/>
        </w:rPr>
        <w:t xml:space="preserve"> postižených vynuc</w:t>
      </w:r>
      <w:r w:rsidR="00343BBB">
        <w:rPr>
          <w:rFonts w:ascii="Arial" w:hAnsi="Arial" w:cs="Arial"/>
          <w:sz w:val="24"/>
          <w:szCs w:val="24"/>
        </w:rPr>
        <w:t>eným přerušením než u</w:t>
      </w:r>
      <w:r w:rsidR="005D47CC">
        <w:rPr>
          <w:rFonts w:ascii="Arial" w:hAnsi="Arial" w:cs="Arial"/>
          <w:sz w:val="24"/>
          <w:szCs w:val="24"/>
        </w:rPr>
        <w:t xml:space="preserve"> zákazníků - příjemců plynu např. z řad domácností. </w:t>
      </w:r>
    </w:p>
    <w:p w:rsidR="007C53EC" w:rsidRDefault="007C53EC" w:rsidP="00BD38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3861" w:rsidRDefault="00493804" w:rsidP="00BD38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N</w:t>
      </w:r>
      <w:r w:rsidR="00BD3861" w:rsidRPr="00D44B65">
        <w:rPr>
          <w:rFonts w:ascii="Arial" w:hAnsi="Arial" w:cs="Arial"/>
          <w:sz w:val="24"/>
          <w:szCs w:val="24"/>
        </w:rPr>
        <w:t>avržená úprava fungování solidarity zcela opomíjí uplatňování principu proporcionality, který vychází z posouzení navržené právní úpravy hlediskem potřebnosti, jež sleduje analýzu možných</w:t>
      </w:r>
      <w:r w:rsidR="00BE5E3B" w:rsidRPr="00D44B65">
        <w:rPr>
          <w:rFonts w:ascii="Arial" w:hAnsi="Arial" w:cs="Arial"/>
          <w:sz w:val="24"/>
          <w:szCs w:val="24"/>
        </w:rPr>
        <w:t xml:space="preserve"> normativních</w:t>
      </w:r>
      <w:r w:rsidR="002A5C2D">
        <w:rPr>
          <w:rFonts w:ascii="Arial" w:hAnsi="Arial" w:cs="Arial"/>
          <w:sz w:val="24"/>
          <w:szCs w:val="24"/>
        </w:rPr>
        <w:t xml:space="preserve"> prostředků ve vztahu k </w:t>
      </w:r>
      <w:r w:rsidR="00BD3861" w:rsidRPr="00D44B65">
        <w:rPr>
          <w:rFonts w:ascii="Arial" w:hAnsi="Arial" w:cs="Arial"/>
          <w:sz w:val="24"/>
          <w:szCs w:val="24"/>
        </w:rPr>
        <w:t xml:space="preserve">zamýšlenému účelu a jejich subsidiaritu z hlediska omezení základních práv nebo veřejného statku. </w:t>
      </w:r>
      <w:r w:rsidRPr="00D44B65">
        <w:rPr>
          <w:rFonts w:ascii="Arial" w:hAnsi="Arial" w:cs="Arial"/>
          <w:sz w:val="24"/>
          <w:szCs w:val="24"/>
        </w:rPr>
        <w:t xml:space="preserve">Zavedení principu </w:t>
      </w:r>
      <w:r w:rsidR="00F40755" w:rsidRPr="00D44B65">
        <w:rPr>
          <w:rFonts w:ascii="Arial" w:hAnsi="Arial" w:cs="Arial"/>
          <w:sz w:val="24"/>
          <w:szCs w:val="24"/>
        </w:rPr>
        <w:t xml:space="preserve">solidarity </w:t>
      </w:r>
      <w:r w:rsidRPr="00D44B65">
        <w:rPr>
          <w:rFonts w:ascii="Arial" w:hAnsi="Arial" w:cs="Arial"/>
          <w:sz w:val="24"/>
          <w:szCs w:val="24"/>
        </w:rPr>
        <w:t xml:space="preserve">nelze </w:t>
      </w:r>
      <w:r w:rsidR="00F40755" w:rsidRPr="00D44B65">
        <w:rPr>
          <w:rFonts w:ascii="Arial" w:hAnsi="Arial" w:cs="Arial"/>
          <w:sz w:val="24"/>
          <w:szCs w:val="24"/>
        </w:rPr>
        <w:t xml:space="preserve">z důvodů obecnosti </w:t>
      </w:r>
      <w:r w:rsidR="00E55EA7" w:rsidRPr="00D44B65">
        <w:rPr>
          <w:rFonts w:ascii="Arial" w:hAnsi="Arial" w:cs="Arial"/>
          <w:sz w:val="24"/>
          <w:szCs w:val="24"/>
        </w:rPr>
        <w:t>posoudit</w:t>
      </w:r>
      <w:r w:rsidR="002A5C2D">
        <w:rPr>
          <w:rFonts w:ascii="Arial" w:hAnsi="Arial" w:cs="Arial"/>
          <w:sz w:val="24"/>
          <w:szCs w:val="24"/>
        </w:rPr>
        <w:t xml:space="preserve"> z </w:t>
      </w:r>
      <w:r w:rsidR="00BD3861" w:rsidRPr="00D44B65">
        <w:rPr>
          <w:rFonts w:ascii="Arial" w:hAnsi="Arial" w:cs="Arial"/>
          <w:sz w:val="24"/>
          <w:szCs w:val="24"/>
        </w:rPr>
        <w:t>pohledu možného naplnění sledovaného účelu</w:t>
      </w:r>
      <w:r w:rsidR="00F40755" w:rsidRPr="00D44B65">
        <w:rPr>
          <w:rFonts w:ascii="Arial" w:hAnsi="Arial" w:cs="Arial"/>
          <w:sz w:val="24"/>
          <w:szCs w:val="24"/>
        </w:rPr>
        <w:t xml:space="preserve">, kterým je </w:t>
      </w:r>
      <w:r w:rsidR="00E55EA7" w:rsidRPr="00D44B65">
        <w:rPr>
          <w:rFonts w:ascii="Arial" w:hAnsi="Arial" w:cs="Arial"/>
          <w:sz w:val="24"/>
          <w:szCs w:val="24"/>
        </w:rPr>
        <w:t>zaručení soustavné dodávky plynu do domácností a fungování klíčových sociálních služeb při stavech nouze. Návrh nařízení počítá s tím, že uplatnění zásady solidarity na základě technických a správních ujednání mezi členskými státy bude povinné</w:t>
      </w:r>
      <w:r w:rsidR="00E83CEC" w:rsidRPr="00D44B65">
        <w:rPr>
          <w:rFonts w:ascii="Arial" w:hAnsi="Arial" w:cs="Arial"/>
          <w:sz w:val="24"/>
          <w:szCs w:val="24"/>
        </w:rPr>
        <w:t>. Bez konkrétního návrhu technických a správních ujednání mezi sousedními členskými státy nelze</w:t>
      </w:r>
      <w:r w:rsidR="00A82689" w:rsidRPr="00D44B65">
        <w:rPr>
          <w:rFonts w:ascii="Arial" w:hAnsi="Arial" w:cs="Arial"/>
          <w:sz w:val="24"/>
          <w:szCs w:val="24"/>
        </w:rPr>
        <w:t xml:space="preserve"> ani</w:t>
      </w:r>
      <w:r w:rsidR="00E83CEC" w:rsidRPr="00D44B65">
        <w:rPr>
          <w:rFonts w:ascii="Arial" w:hAnsi="Arial" w:cs="Arial"/>
          <w:sz w:val="24"/>
          <w:szCs w:val="24"/>
        </w:rPr>
        <w:t xml:space="preserve"> zhodnotit, </w:t>
      </w:r>
      <w:r w:rsidR="00EB131F" w:rsidRPr="00D44B65">
        <w:rPr>
          <w:rFonts w:ascii="Arial" w:hAnsi="Arial" w:cs="Arial"/>
          <w:sz w:val="24"/>
          <w:szCs w:val="24"/>
        </w:rPr>
        <w:t xml:space="preserve">jak a </w:t>
      </w:r>
      <w:r w:rsidR="00E83CEC" w:rsidRPr="00D44B65">
        <w:rPr>
          <w:rFonts w:ascii="Arial" w:hAnsi="Arial" w:cs="Arial"/>
          <w:sz w:val="24"/>
          <w:szCs w:val="24"/>
        </w:rPr>
        <w:t>zda bude zajištěna právní jistota</w:t>
      </w:r>
      <w:r w:rsidR="00EB131F" w:rsidRPr="00D44B65">
        <w:rPr>
          <w:rFonts w:ascii="Arial" w:hAnsi="Arial" w:cs="Arial"/>
          <w:sz w:val="24"/>
          <w:szCs w:val="24"/>
        </w:rPr>
        <w:t xml:space="preserve"> dotčených účastníků trhu s</w:t>
      </w:r>
      <w:r w:rsidR="00AC42F0" w:rsidRPr="00D44B65">
        <w:rPr>
          <w:rFonts w:ascii="Arial" w:hAnsi="Arial" w:cs="Arial"/>
          <w:sz w:val="24"/>
          <w:szCs w:val="24"/>
        </w:rPr>
        <w:t> </w:t>
      </w:r>
      <w:r w:rsidR="00EB131F" w:rsidRPr="00D44B65">
        <w:rPr>
          <w:rFonts w:ascii="Arial" w:hAnsi="Arial" w:cs="Arial"/>
          <w:sz w:val="24"/>
          <w:szCs w:val="24"/>
        </w:rPr>
        <w:t xml:space="preserve">plynem. </w:t>
      </w:r>
      <w:r w:rsidR="00AC42F0" w:rsidRPr="00D44B65">
        <w:rPr>
          <w:rFonts w:ascii="Arial" w:hAnsi="Arial" w:cs="Arial"/>
          <w:sz w:val="24"/>
          <w:szCs w:val="24"/>
        </w:rPr>
        <w:lastRenderedPageBreak/>
        <w:t xml:space="preserve">Navíc, </w:t>
      </w:r>
      <w:r w:rsidR="00EB131F" w:rsidRPr="00D44B65">
        <w:rPr>
          <w:rFonts w:ascii="Arial" w:hAnsi="Arial" w:cs="Arial"/>
          <w:sz w:val="24"/>
          <w:szCs w:val="24"/>
        </w:rPr>
        <w:t xml:space="preserve">nelze posoudit ani rozsah možného omezení základních hodnot chráněných jak </w:t>
      </w:r>
      <w:r w:rsidR="00AC42F0" w:rsidRPr="00D44B65">
        <w:rPr>
          <w:rFonts w:ascii="Arial" w:hAnsi="Arial" w:cs="Arial"/>
          <w:sz w:val="24"/>
          <w:szCs w:val="24"/>
        </w:rPr>
        <w:t>právem EU tak i národními ústavními předpisy. Nebyly posouzeny ani možnosti, zda zaručení soustavn</w:t>
      </w:r>
      <w:r w:rsidR="002A5C2D">
        <w:rPr>
          <w:rFonts w:ascii="Arial" w:hAnsi="Arial" w:cs="Arial"/>
          <w:sz w:val="24"/>
          <w:szCs w:val="24"/>
        </w:rPr>
        <w:t>é dodávky plynu do domácností a </w:t>
      </w:r>
      <w:r w:rsidR="00AC42F0" w:rsidRPr="00D44B65">
        <w:rPr>
          <w:rFonts w:ascii="Arial" w:hAnsi="Arial" w:cs="Arial"/>
          <w:sz w:val="24"/>
          <w:szCs w:val="24"/>
        </w:rPr>
        <w:t xml:space="preserve">fungování klíčových sociálních služeb při stavech nouze nelze </w:t>
      </w:r>
      <w:r w:rsidR="00BD3861" w:rsidRPr="00D44B65">
        <w:rPr>
          <w:rFonts w:ascii="Arial" w:hAnsi="Arial" w:cs="Arial"/>
          <w:sz w:val="24"/>
          <w:szCs w:val="24"/>
        </w:rPr>
        <w:t xml:space="preserve">dosáhnout alternativními prostředky, </w:t>
      </w:r>
      <w:r w:rsidR="00AC42F0" w:rsidRPr="00D44B65">
        <w:rPr>
          <w:rFonts w:ascii="Arial" w:hAnsi="Arial" w:cs="Arial"/>
          <w:sz w:val="24"/>
          <w:szCs w:val="24"/>
        </w:rPr>
        <w:t>které by</w:t>
      </w:r>
      <w:r w:rsidR="00BD3861" w:rsidRPr="00D44B65">
        <w:rPr>
          <w:rFonts w:ascii="Arial" w:hAnsi="Arial" w:cs="Arial"/>
          <w:sz w:val="24"/>
          <w:szCs w:val="24"/>
        </w:rPr>
        <w:t xml:space="preserve"> </w:t>
      </w:r>
      <w:r w:rsidR="00AC42F0" w:rsidRPr="00D44B65">
        <w:rPr>
          <w:rFonts w:ascii="Arial" w:hAnsi="Arial" w:cs="Arial"/>
          <w:sz w:val="24"/>
          <w:szCs w:val="24"/>
        </w:rPr>
        <w:t xml:space="preserve">představovali </w:t>
      </w:r>
      <w:r w:rsidR="00BD3861" w:rsidRPr="00D44B65">
        <w:rPr>
          <w:rFonts w:ascii="Arial" w:hAnsi="Arial" w:cs="Arial"/>
          <w:sz w:val="24"/>
          <w:szCs w:val="24"/>
        </w:rPr>
        <w:t>omez</w:t>
      </w:r>
      <w:r w:rsidR="00AC42F0" w:rsidRPr="00D44B65">
        <w:rPr>
          <w:rFonts w:ascii="Arial" w:hAnsi="Arial" w:cs="Arial"/>
          <w:sz w:val="24"/>
          <w:szCs w:val="24"/>
        </w:rPr>
        <w:t>ení</w:t>
      </w:r>
      <w:r w:rsidR="002A5C2D">
        <w:rPr>
          <w:rFonts w:ascii="Arial" w:hAnsi="Arial" w:cs="Arial"/>
          <w:sz w:val="24"/>
          <w:szCs w:val="24"/>
        </w:rPr>
        <w:t xml:space="preserve"> v míře menší.</w:t>
      </w:r>
    </w:p>
    <w:p w:rsidR="00B05ECB" w:rsidRDefault="00B05ECB" w:rsidP="00BD38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ECB" w:rsidRPr="00D44B65" w:rsidRDefault="00B05ECB" w:rsidP="00BD38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66B1">
        <w:rPr>
          <w:rFonts w:ascii="Arial" w:hAnsi="Arial" w:cs="Arial"/>
          <w:sz w:val="24"/>
          <w:szCs w:val="24"/>
        </w:rPr>
        <w:t>Za nejefektivnější způsob zajištění bezpečnosti dodávky zemního plynu považujeme funkční jednotný vnitřní trh se zemním plynem v EU společně s existencí odpovídající plynárenské infrastruktury. Implementace principu solidarity nevede ke zvýšení objemů dodávek zemního plynu pro zákazníky v členských státech EU v kritických stavech, ale tyto dodávky pouze „přerozděluje“. Naopak lze důvodně předpokládat, že zakotvení principu solidarity v právním řádu EU může vést k celkovému oslabení odpovědnosti za zajištění dodávek zemního plynu konečným zákazníkům.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E62C4" w:rsidRPr="00D44B65" w:rsidRDefault="00CE62C4" w:rsidP="00CE62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7088" w:rsidRPr="00D44B65" w:rsidRDefault="00127088" w:rsidP="00CE62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7088" w:rsidRPr="00D44B65" w:rsidRDefault="0057447C" w:rsidP="00A2076F">
      <w:pPr>
        <w:keepNext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4B65">
        <w:rPr>
          <w:rFonts w:ascii="Arial" w:hAnsi="Arial" w:cs="Arial"/>
          <w:b/>
          <w:sz w:val="24"/>
          <w:szCs w:val="24"/>
        </w:rPr>
        <w:t xml:space="preserve">I. </w:t>
      </w:r>
      <w:r w:rsidR="00E727A3" w:rsidRPr="00D44B65">
        <w:rPr>
          <w:rFonts w:ascii="Arial" w:hAnsi="Arial" w:cs="Arial"/>
          <w:b/>
          <w:sz w:val="24"/>
          <w:szCs w:val="24"/>
        </w:rPr>
        <w:t>HLAVNÍ PRINCIPY</w:t>
      </w:r>
    </w:p>
    <w:p w:rsidR="00C263A2" w:rsidRPr="00D44B65" w:rsidRDefault="00C263A2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F6E5D" w:rsidRPr="00D44B65" w:rsidRDefault="005963DB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Ad a)</w:t>
      </w:r>
      <w:r w:rsidRPr="00D44B65">
        <w:rPr>
          <w:rFonts w:ascii="Arial" w:hAnsi="Arial" w:cs="Arial"/>
          <w:sz w:val="24"/>
          <w:szCs w:val="24"/>
        </w:rPr>
        <w:tab/>
        <w:t>Aktivac</w:t>
      </w:r>
      <w:r w:rsidR="00BA60D8" w:rsidRPr="00D44B65">
        <w:rPr>
          <w:rFonts w:ascii="Arial" w:hAnsi="Arial" w:cs="Arial"/>
          <w:sz w:val="24"/>
          <w:szCs w:val="24"/>
        </w:rPr>
        <w:t>e</w:t>
      </w:r>
      <w:r w:rsidRPr="00D44B65">
        <w:rPr>
          <w:rFonts w:ascii="Arial" w:hAnsi="Arial" w:cs="Arial"/>
          <w:sz w:val="24"/>
          <w:szCs w:val="24"/>
        </w:rPr>
        <w:t xml:space="preserve"> čl</w:t>
      </w:r>
      <w:r w:rsidR="00991676" w:rsidRPr="00D44B65">
        <w:rPr>
          <w:rFonts w:ascii="Arial" w:hAnsi="Arial" w:cs="Arial"/>
          <w:sz w:val="24"/>
          <w:szCs w:val="24"/>
        </w:rPr>
        <w:t>.</w:t>
      </w:r>
      <w:r w:rsidRPr="00D44B65">
        <w:rPr>
          <w:rFonts w:ascii="Arial" w:hAnsi="Arial" w:cs="Arial"/>
          <w:sz w:val="24"/>
          <w:szCs w:val="24"/>
        </w:rPr>
        <w:t xml:space="preserve"> 12 </w:t>
      </w:r>
      <w:r w:rsidR="00A11008" w:rsidRPr="00D44B65">
        <w:rPr>
          <w:rFonts w:ascii="Arial" w:hAnsi="Arial" w:cs="Arial"/>
          <w:sz w:val="24"/>
          <w:szCs w:val="24"/>
        </w:rPr>
        <w:t xml:space="preserve">odst. 2 </w:t>
      </w:r>
      <w:r w:rsidR="00BA60D8" w:rsidRPr="00D44B65">
        <w:rPr>
          <w:rFonts w:ascii="Arial" w:hAnsi="Arial" w:cs="Arial"/>
          <w:sz w:val="24"/>
          <w:szCs w:val="24"/>
        </w:rPr>
        <w:t xml:space="preserve">není nijak spojena s postupným řešením krizových situací uvedených v čl. 10 a de facto </w:t>
      </w:r>
      <w:r w:rsidR="00C263A2" w:rsidRPr="00D44B65">
        <w:rPr>
          <w:rFonts w:ascii="Arial" w:hAnsi="Arial" w:cs="Arial"/>
          <w:sz w:val="24"/>
          <w:szCs w:val="24"/>
        </w:rPr>
        <w:t>ne</w:t>
      </w:r>
      <w:r w:rsidRPr="00D44B65">
        <w:rPr>
          <w:rFonts w:ascii="Arial" w:hAnsi="Arial" w:cs="Arial"/>
          <w:sz w:val="24"/>
          <w:szCs w:val="24"/>
        </w:rPr>
        <w:t>dojde v solidární</w:t>
      </w:r>
      <w:r w:rsidR="002C7057" w:rsidRPr="00D44B65">
        <w:rPr>
          <w:rFonts w:ascii="Arial" w:hAnsi="Arial" w:cs="Arial"/>
          <w:sz w:val="24"/>
          <w:szCs w:val="24"/>
        </w:rPr>
        <w:t>ch</w:t>
      </w:r>
      <w:r w:rsidRPr="00D44B65">
        <w:rPr>
          <w:rFonts w:ascii="Arial" w:hAnsi="Arial" w:cs="Arial"/>
          <w:sz w:val="24"/>
          <w:szCs w:val="24"/>
        </w:rPr>
        <w:t xml:space="preserve"> stát</w:t>
      </w:r>
      <w:r w:rsidR="002C7057" w:rsidRPr="00D44B65">
        <w:rPr>
          <w:rFonts w:ascii="Arial" w:hAnsi="Arial" w:cs="Arial"/>
          <w:sz w:val="24"/>
          <w:szCs w:val="24"/>
        </w:rPr>
        <w:t>ech</w:t>
      </w:r>
      <w:r w:rsidR="00A11008" w:rsidRPr="00D44B65">
        <w:rPr>
          <w:rFonts w:ascii="Arial" w:hAnsi="Arial" w:cs="Arial"/>
          <w:sz w:val="24"/>
          <w:szCs w:val="24"/>
        </w:rPr>
        <w:t xml:space="preserve"> k</w:t>
      </w:r>
      <w:r w:rsidR="00C263A2" w:rsidRPr="00D44B65">
        <w:rPr>
          <w:rFonts w:ascii="Arial" w:hAnsi="Arial" w:cs="Arial"/>
          <w:sz w:val="24"/>
          <w:szCs w:val="24"/>
        </w:rPr>
        <w:t> </w:t>
      </w:r>
      <w:r w:rsidR="00D44B65" w:rsidRPr="00D44B65">
        <w:rPr>
          <w:rFonts w:ascii="Arial" w:hAnsi="Arial" w:cs="Arial"/>
          <w:sz w:val="24"/>
          <w:szCs w:val="24"/>
        </w:rPr>
        <w:t>uplatnění všech</w:t>
      </w:r>
      <w:r w:rsidR="00A11008" w:rsidRPr="00D44B65">
        <w:rPr>
          <w:rFonts w:ascii="Arial" w:hAnsi="Arial" w:cs="Arial"/>
          <w:sz w:val="24"/>
          <w:szCs w:val="24"/>
        </w:rPr>
        <w:t xml:space="preserve"> krizových </w:t>
      </w:r>
      <w:r w:rsidR="00BA60D8" w:rsidRPr="00D44B65">
        <w:rPr>
          <w:rFonts w:ascii="Arial" w:hAnsi="Arial" w:cs="Arial"/>
          <w:sz w:val="24"/>
          <w:szCs w:val="24"/>
        </w:rPr>
        <w:t xml:space="preserve">(varovných) </w:t>
      </w:r>
      <w:r w:rsidR="00A11008" w:rsidRPr="00D44B65">
        <w:rPr>
          <w:rFonts w:ascii="Arial" w:hAnsi="Arial" w:cs="Arial"/>
          <w:sz w:val="24"/>
          <w:szCs w:val="24"/>
        </w:rPr>
        <w:t>úrovní</w:t>
      </w:r>
      <w:r w:rsidR="00364CE7" w:rsidRPr="00D44B65">
        <w:rPr>
          <w:rFonts w:ascii="Arial" w:hAnsi="Arial" w:cs="Arial"/>
          <w:sz w:val="24"/>
          <w:szCs w:val="24"/>
        </w:rPr>
        <w:t>, které mají při „běžné“ vnitrostátní kriz</w:t>
      </w:r>
      <w:r w:rsidR="00C10F84" w:rsidRPr="00D44B65">
        <w:rPr>
          <w:rFonts w:ascii="Arial" w:hAnsi="Arial" w:cs="Arial"/>
          <w:sz w:val="24"/>
          <w:szCs w:val="24"/>
        </w:rPr>
        <w:t>i</w:t>
      </w:r>
      <w:r w:rsidR="00364CE7" w:rsidRPr="00D44B65">
        <w:rPr>
          <w:rFonts w:ascii="Arial" w:hAnsi="Arial" w:cs="Arial"/>
          <w:sz w:val="24"/>
          <w:szCs w:val="24"/>
        </w:rPr>
        <w:t xml:space="preserve"> za cíl situaci </w:t>
      </w:r>
      <w:r w:rsidR="00BA60D8" w:rsidRPr="00D44B65">
        <w:rPr>
          <w:rFonts w:ascii="Arial" w:hAnsi="Arial" w:cs="Arial"/>
          <w:sz w:val="24"/>
          <w:szCs w:val="24"/>
        </w:rPr>
        <w:t xml:space="preserve">od prvotního počátku </w:t>
      </w:r>
      <w:r w:rsidR="00364CE7" w:rsidRPr="00D44B65">
        <w:rPr>
          <w:rFonts w:ascii="Arial" w:hAnsi="Arial" w:cs="Arial"/>
          <w:sz w:val="24"/>
          <w:szCs w:val="24"/>
        </w:rPr>
        <w:t>stabilizovat</w:t>
      </w:r>
      <w:r w:rsidR="00BA60D8" w:rsidRPr="00D44B65">
        <w:rPr>
          <w:rFonts w:ascii="Arial" w:hAnsi="Arial" w:cs="Arial"/>
          <w:sz w:val="24"/>
          <w:szCs w:val="24"/>
        </w:rPr>
        <w:t>.</w:t>
      </w:r>
      <w:r w:rsidR="00A11008" w:rsidRPr="00D44B65">
        <w:rPr>
          <w:rFonts w:ascii="Arial" w:hAnsi="Arial" w:cs="Arial"/>
          <w:sz w:val="24"/>
          <w:szCs w:val="24"/>
        </w:rPr>
        <w:t xml:space="preserve"> </w:t>
      </w:r>
      <w:r w:rsidR="002C7057" w:rsidRPr="00D44B65">
        <w:rPr>
          <w:rFonts w:ascii="Arial" w:hAnsi="Arial" w:cs="Arial"/>
          <w:sz w:val="24"/>
          <w:szCs w:val="24"/>
        </w:rPr>
        <w:t xml:space="preserve">Tím </w:t>
      </w:r>
      <w:r w:rsidR="002345BA" w:rsidRPr="00D44B65">
        <w:rPr>
          <w:rFonts w:ascii="Arial" w:hAnsi="Arial" w:cs="Arial"/>
          <w:sz w:val="24"/>
          <w:szCs w:val="24"/>
        </w:rPr>
        <w:t>může být</w:t>
      </w:r>
      <w:r w:rsidR="002C7057" w:rsidRPr="00D44B65">
        <w:rPr>
          <w:rFonts w:ascii="Arial" w:hAnsi="Arial" w:cs="Arial"/>
          <w:sz w:val="24"/>
          <w:szCs w:val="24"/>
        </w:rPr>
        <w:t xml:space="preserve"> zcela ignorován potenciál těchto opatření pro</w:t>
      </w:r>
      <w:r w:rsidR="00FB4D36" w:rsidRPr="00D44B65">
        <w:rPr>
          <w:rFonts w:ascii="Arial" w:hAnsi="Arial" w:cs="Arial"/>
          <w:sz w:val="24"/>
          <w:szCs w:val="24"/>
        </w:rPr>
        <w:t xml:space="preserve"> jejich využití ve stavu předcházení stavu nouze</w:t>
      </w:r>
      <w:r w:rsidR="002C7057" w:rsidRPr="00D44B65">
        <w:rPr>
          <w:rFonts w:ascii="Arial" w:hAnsi="Arial" w:cs="Arial"/>
          <w:sz w:val="24"/>
          <w:szCs w:val="24"/>
        </w:rPr>
        <w:t xml:space="preserve">. </w:t>
      </w:r>
      <w:r w:rsidR="00C263A2" w:rsidRPr="00D44B65">
        <w:rPr>
          <w:rFonts w:ascii="Arial" w:hAnsi="Arial" w:cs="Arial"/>
          <w:sz w:val="24"/>
          <w:szCs w:val="24"/>
        </w:rPr>
        <w:t>Návrh nijak neřeší vzájemné postavení jednotlivých stupňů krizových stavů vyhlášených v rámci členského státu a stavy nouze vyhlášených na úrovni EU či regionu.</w:t>
      </w:r>
    </w:p>
    <w:p w:rsidR="004705E3" w:rsidRPr="00D44B65" w:rsidRDefault="004705E3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127088" w:rsidRPr="00D44B65" w:rsidRDefault="005F6E5D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Ad b)</w:t>
      </w:r>
      <w:r w:rsidRPr="00D44B65">
        <w:rPr>
          <w:rFonts w:ascii="Arial" w:hAnsi="Arial" w:cs="Arial"/>
          <w:sz w:val="24"/>
          <w:szCs w:val="24"/>
        </w:rPr>
        <w:tab/>
      </w:r>
      <w:r w:rsidR="002C7057" w:rsidRPr="00D44B65">
        <w:rPr>
          <w:rFonts w:ascii="Arial" w:hAnsi="Arial" w:cs="Arial"/>
          <w:sz w:val="24"/>
          <w:szCs w:val="24"/>
        </w:rPr>
        <w:t xml:space="preserve">Není jasné </w:t>
      </w:r>
      <w:r w:rsidR="00364CE7" w:rsidRPr="00D44B65">
        <w:rPr>
          <w:rFonts w:ascii="Arial" w:hAnsi="Arial" w:cs="Arial"/>
          <w:sz w:val="24"/>
          <w:szCs w:val="24"/>
        </w:rPr>
        <w:t>jak, na jaké platformě a kým bude organizováno přerozdělení</w:t>
      </w:r>
      <w:r w:rsidR="002C7057" w:rsidRPr="00D44B65">
        <w:rPr>
          <w:rFonts w:ascii="Arial" w:hAnsi="Arial" w:cs="Arial"/>
          <w:sz w:val="24"/>
          <w:szCs w:val="24"/>
        </w:rPr>
        <w:t xml:space="preserve"> (netržním zásahem) získaného plynu.</w:t>
      </w:r>
      <w:r w:rsidR="005A229D" w:rsidRPr="00D44B65">
        <w:rPr>
          <w:rFonts w:ascii="Arial" w:hAnsi="Arial" w:cs="Arial"/>
          <w:sz w:val="24"/>
          <w:szCs w:val="24"/>
        </w:rPr>
        <w:t xml:space="preserve"> V</w:t>
      </w:r>
      <w:r w:rsidR="00B21E18" w:rsidRPr="00D44B65">
        <w:rPr>
          <w:rFonts w:ascii="Arial" w:hAnsi="Arial" w:cs="Arial"/>
          <w:sz w:val="24"/>
          <w:szCs w:val="24"/>
        </w:rPr>
        <w:t> </w:t>
      </w:r>
      <w:r w:rsidR="005A229D" w:rsidRPr="00D44B65">
        <w:rPr>
          <w:rFonts w:ascii="Arial" w:hAnsi="Arial" w:cs="Arial"/>
          <w:sz w:val="24"/>
          <w:szCs w:val="24"/>
        </w:rPr>
        <w:t>situaci</w:t>
      </w:r>
      <w:r w:rsidR="00B21E18" w:rsidRPr="00D44B65">
        <w:rPr>
          <w:rFonts w:ascii="Arial" w:hAnsi="Arial" w:cs="Arial"/>
          <w:sz w:val="24"/>
          <w:szCs w:val="24"/>
        </w:rPr>
        <w:t>,</w:t>
      </w:r>
      <w:r w:rsidR="005A229D" w:rsidRPr="00D44B65">
        <w:rPr>
          <w:rFonts w:ascii="Arial" w:hAnsi="Arial" w:cs="Arial"/>
          <w:sz w:val="24"/>
          <w:szCs w:val="24"/>
        </w:rPr>
        <w:t xml:space="preserve"> kdy </w:t>
      </w:r>
      <w:r w:rsidR="00B21E18" w:rsidRPr="00D44B65">
        <w:rPr>
          <w:rFonts w:ascii="Arial" w:hAnsi="Arial" w:cs="Arial"/>
          <w:sz w:val="24"/>
          <w:szCs w:val="24"/>
        </w:rPr>
        <w:t xml:space="preserve">byly </w:t>
      </w:r>
      <w:r w:rsidR="005A229D" w:rsidRPr="00D44B65">
        <w:rPr>
          <w:rFonts w:ascii="Arial" w:hAnsi="Arial" w:cs="Arial"/>
          <w:sz w:val="24"/>
          <w:szCs w:val="24"/>
        </w:rPr>
        <w:t>vyčerpá</w:t>
      </w:r>
      <w:r w:rsidR="00B21E18" w:rsidRPr="00D44B65">
        <w:rPr>
          <w:rFonts w:ascii="Arial" w:hAnsi="Arial" w:cs="Arial"/>
          <w:sz w:val="24"/>
          <w:szCs w:val="24"/>
        </w:rPr>
        <w:t>ny tržně orientovaná opatření a </w:t>
      </w:r>
      <w:r w:rsidR="005A229D" w:rsidRPr="00D44B65">
        <w:rPr>
          <w:rFonts w:ascii="Arial" w:hAnsi="Arial" w:cs="Arial"/>
          <w:sz w:val="24"/>
          <w:szCs w:val="24"/>
        </w:rPr>
        <w:t>došlo k netržnímu zásahu</w:t>
      </w:r>
      <w:r w:rsidR="00802E8F" w:rsidRPr="00D44B65">
        <w:rPr>
          <w:rFonts w:ascii="Arial" w:hAnsi="Arial" w:cs="Arial"/>
          <w:sz w:val="24"/>
          <w:szCs w:val="24"/>
        </w:rPr>
        <w:t xml:space="preserve"> a </w:t>
      </w:r>
      <w:r w:rsidR="005A229D" w:rsidRPr="00D44B65">
        <w:rPr>
          <w:rFonts w:ascii="Arial" w:hAnsi="Arial" w:cs="Arial"/>
          <w:sz w:val="24"/>
          <w:szCs w:val="24"/>
        </w:rPr>
        <w:t xml:space="preserve">v podstatě k přechodu do </w:t>
      </w:r>
      <w:r w:rsidR="009369FF" w:rsidRPr="00D44B65">
        <w:rPr>
          <w:rFonts w:ascii="Arial" w:hAnsi="Arial" w:cs="Arial"/>
          <w:sz w:val="24"/>
          <w:szCs w:val="24"/>
        </w:rPr>
        <w:t xml:space="preserve">režimu </w:t>
      </w:r>
      <w:r w:rsidR="005A229D" w:rsidRPr="00D44B65">
        <w:rPr>
          <w:rFonts w:ascii="Arial" w:hAnsi="Arial" w:cs="Arial"/>
          <w:sz w:val="24"/>
          <w:szCs w:val="24"/>
        </w:rPr>
        <w:t>mezistátní pomoci</w:t>
      </w:r>
      <w:r w:rsidR="00B21E18" w:rsidRPr="00D44B65">
        <w:rPr>
          <w:rFonts w:ascii="Arial" w:hAnsi="Arial" w:cs="Arial"/>
          <w:sz w:val="24"/>
          <w:szCs w:val="24"/>
        </w:rPr>
        <w:t xml:space="preserve"> (běžné obchodování b</w:t>
      </w:r>
      <w:r w:rsidR="00C10F84" w:rsidRPr="00D44B65">
        <w:rPr>
          <w:rFonts w:ascii="Arial" w:hAnsi="Arial" w:cs="Arial"/>
          <w:sz w:val="24"/>
          <w:szCs w:val="24"/>
        </w:rPr>
        <w:t xml:space="preserve">ude tímto krokem </w:t>
      </w:r>
      <w:r w:rsidR="002E37CD" w:rsidRPr="00D44B65">
        <w:rPr>
          <w:rFonts w:ascii="Arial" w:hAnsi="Arial" w:cs="Arial"/>
          <w:sz w:val="24"/>
          <w:szCs w:val="24"/>
        </w:rPr>
        <w:t>významně narušeno</w:t>
      </w:r>
      <w:r w:rsidR="00B21E18" w:rsidRPr="00D44B65">
        <w:rPr>
          <w:rFonts w:ascii="Arial" w:hAnsi="Arial" w:cs="Arial"/>
          <w:sz w:val="24"/>
          <w:szCs w:val="24"/>
        </w:rPr>
        <w:t>)</w:t>
      </w:r>
      <w:r w:rsidR="005A229D" w:rsidRPr="00D44B65">
        <w:rPr>
          <w:rFonts w:ascii="Arial" w:hAnsi="Arial" w:cs="Arial"/>
          <w:sz w:val="24"/>
          <w:szCs w:val="24"/>
        </w:rPr>
        <w:t xml:space="preserve">, </w:t>
      </w:r>
      <w:r w:rsidR="00B21E18" w:rsidRPr="00D44B65">
        <w:rPr>
          <w:rFonts w:ascii="Arial" w:hAnsi="Arial" w:cs="Arial"/>
          <w:sz w:val="24"/>
          <w:szCs w:val="24"/>
        </w:rPr>
        <w:t xml:space="preserve">si </w:t>
      </w:r>
      <w:r w:rsidR="005A229D" w:rsidRPr="00D44B65">
        <w:rPr>
          <w:rFonts w:ascii="Arial" w:hAnsi="Arial" w:cs="Arial"/>
          <w:sz w:val="24"/>
          <w:szCs w:val="24"/>
        </w:rPr>
        <w:t>lze jen obtížně představit, jak by takový obchodní model měl vypadat</w:t>
      </w:r>
      <w:r w:rsidR="002A5C2D">
        <w:rPr>
          <w:rFonts w:ascii="Arial" w:hAnsi="Arial" w:cs="Arial"/>
          <w:sz w:val="24"/>
          <w:szCs w:val="24"/>
        </w:rPr>
        <w:t>.</w:t>
      </w:r>
    </w:p>
    <w:p w:rsidR="004705E3" w:rsidRPr="00D44B65" w:rsidRDefault="004705E3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802E8F" w:rsidRDefault="005F6E5D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Ad c)</w:t>
      </w:r>
      <w:r w:rsidRPr="00D44B65">
        <w:rPr>
          <w:rFonts w:ascii="Arial" w:hAnsi="Arial" w:cs="Arial"/>
          <w:sz w:val="24"/>
          <w:szCs w:val="24"/>
        </w:rPr>
        <w:tab/>
      </w:r>
      <w:r w:rsidR="009D4319" w:rsidRPr="00D44B65">
        <w:rPr>
          <w:rFonts w:ascii="Arial" w:hAnsi="Arial" w:cs="Arial"/>
          <w:sz w:val="24"/>
          <w:szCs w:val="24"/>
        </w:rPr>
        <w:t>Jsme přesvědčeni, že jakýkoliv netržní zásah povede k nesprávným signálům pro některé z účastníků trhu s plynem a v konečném důsledku i ke</w:t>
      </w:r>
      <w:r w:rsidR="007C53EC">
        <w:rPr>
          <w:rFonts w:ascii="Arial" w:hAnsi="Arial" w:cs="Arial"/>
          <w:sz w:val="24"/>
          <w:szCs w:val="24"/>
        </w:rPr>
        <w:t xml:space="preserve"> </w:t>
      </w:r>
      <w:r w:rsidR="009D4319" w:rsidRPr="00D44B65">
        <w:rPr>
          <w:rFonts w:ascii="Arial" w:hAnsi="Arial" w:cs="Arial"/>
          <w:sz w:val="24"/>
          <w:szCs w:val="24"/>
        </w:rPr>
        <w:t>snížení úrovně zajiště</w:t>
      </w:r>
      <w:r w:rsidR="002A5C2D">
        <w:rPr>
          <w:rFonts w:ascii="Arial" w:hAnsi="Arial" w:cs="Arial"/>
          <w:sz w:val="24"/>
          <w:szCs w:val="24"/>
        </w:rPr>
        <w:t>ní dodávek konečným zákazníkům.</w:t>
      </w:r>
    </w:p>
    <w:p w:rsidR="007C53EC" w:rsidRPr="00D44B65" w:rsidRDefault="007C53EC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7C53EC" w:rsidRPr="00D44B65" w:rsidRDefault="00075907" w:rsidP="007C53EC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Ad d)</w:t>
      </w:r>
      <w:r w:rsidRPr="00D44B65">
        <w:rPr>
          <w:rFonts w:ascii="Arial" w:hAnsi="Arial" w:cs="Arial"/>
          <w:sz w:val="24"/>
          <w:szCs w:val="24"/>
        </w:rPr>
        <w:tab/>
      </w:r>
      <w:r w:rsidR="005B7231" w:rsidRPr="00D44B65">
        <w:rPr>
          <w:rFonts w:ascii="Arial" w:hAnsi="Arial" w:cs="Arial"/>
          <w:sz w:val="24"/>
          <w:szCs w:val="24"/>
        </w:rPr>
        <w:t>Z materiálu není zřejmý mechanismus přenesení ujednání o finanční kompenzaci mezi příslušnými orgány dvou členských států na plynárenské podnikatele</w:t>
      </w:r>
      <w:r w:rsidR="007C53EC">
        <w:rPr>
          <w:rFonts w:ascii="Arial" w:hAnsi="Arial" w:cs="Arial"/>
          <w:sz w:val="24"/>
          <w:szCs w:val="24"/>
        </w:rPr>
        <w:t xml:space="preserve"> </w:t>
      </w:r>
      <w:r w:rsidR="005B7231" w:rsidRPr="00D44B65">
        <w:rPr>
          <w:rFonts w:ascii="Arial" w:hAnsi="Arial" w:cs="Arial"/>
          <w:sz w:val="24"/>
          <w:szCs w:val="24"/>
        </w:rPr>
        <w:t>a dotčené zákazníky.</w:t>
      </w:r>
      <w:r w:rsidR="00AA2A47" w:rsidRPr="00D44B65">
        <w:rPr>
          <w:rFonts w:ascii="Arial" w:hAnsi="Arial" w:cs="Arial"/>
          <w:sz w:val="24"/>
          <w:szCs w:val="24"/>
        </w:rPr>
        <w:t xml:space="preserve"> </w:t>
      </w:r>
      <w:r w:rsidR="007C53EC" w:rsidRPr="00D44B65">
        <w:rPr>
          <w:rFonts w:ascii="Arial" w:hAnsi="Arial" w:cs="Arial"/>
          <w:sz w:val="24"/>
          <w:szCs w:val="24"/>
        </w:rPr>
        <w:t>Zásadní problém navrženého systému solidarity spatřujeme v nemožnosti rychlého a spravedlivého vyčíslení škod vzniklých nedodáním plynu nechráněným zákazníků (ztráty na produkci, neplnění smluvních závazků, nemajetkové újmy jako ztráta důvěry, dobrého jména apod.).</w:t>
      </w:r>
    </w:p>
    <w:p w:rsidR="007C53EC" w:rsidRDefault="007C53EC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25A13" w:rsidRPr="00D44B65">
        <w:rPr>
          <w:rFonts w:ascii="Arial" w:hAnsi="Arial" w:cs="Arial"/>
          <w:sz w:val="24"/>
          <w:szCs w:val="24"/>
        </w:rPr>
        <w:t xml:space="preserve">V případě, </w:t>
      </w:r>
      <w:r w:rsidR="00037A42" w:rsidRPr="00D44B65">
        <w:rPr>
          <w:rFonts w:ascii="Arial" w:hAnsi="Arial" w:cs="Arial"/>
          <w:sz w:val="24"/>
          <w:szCs w:val="24"/>
        </w:rPr>
        <w:t xml:space="preserve">kdy </w:t>
      </w:r>
      <w:r w:rsidR="00525A13" w:rsidRPr="00D44B65">
        <w:rPr>
          <w:rFonts w:ascii="Arial" w:hAnsi="Arial" w:cs="Arial"/>
          <w:sz w:val="24"/>
          <w:szCs w:val="24"/>
        </w:rPr>
        <w:t xml:space="preserve">členský stát disponuje </w:t>
      </w:r>
      <w:r w:rsidR="00037A42" w:rsidRPr="00D44B65">
        <w:rPr>
          <w:rFonts w:ascii="Arial" w:hAnsi="Arial" w:cs="Arial"/>
          <w:sz w:val="24"/>
          <w:szCs w:val="24"/>
        </w:rPr>
        <w:t xml:space="preserve">strategickými zásobami plynu, mělo by být jeho povinností </w:t>
      </w:r>
      <w:r w:rsidR="00CC3678" w:rsidRPr="00D44B65">
        <w:rPr>
          <w:rFonts w:ascii="Arial" w:hAnsi="Arial" w:cs="Arial"/>
          <w:sz w:val="24"/>
          <w:szCs w:val="24"/>
        </w:rPr>
        <w:t xml:space="preserve">použít </w:t>
      </w:r>
      <w:r w:rsidR="00037A42" w:rsidRPr="00D44B65">
        <w:rPr>
          <w:rFonts w:ascii="Arial" w:hAnsi="Arial" w:cs="Arial"/>
          <w:sz w:val="24"/>
          <w:szCs w:val="24"/>
        </w:rPr>
        <w:t xml:space="preserve">je dříve, než </w:t>
      </w:r>
      <w:r w:rsidR="00CC3678" w:rsidRPr="00D44B65">
        <w:rPr>
          <w:rFonts w:ascii="Arial" w:hAnsi="Arial" w:cs="Arial"/>
          <w:sz w:val="24"/>
          <w:szCs w:val="24"/>
        </w:rPr>
        <w:t>při</w:t>
      </w:r>
      <w:r w:rsidR="00C75BD1" w:rsidRPr="00D44B65">
        <w:rPr>
          <w:rFonts w:ascii="Arial" w:hAnsi="Arial" w:cs="Arial"/>
          <w:sz w:val="24"/>
          <w:szCs w:val="24"/>
        </w:rPr>
        <w:t>kročí k</w:t>
      </w:r>
      <w:r w:rsidR="001D45A3" w:rsidRPr="00D44B65">
        <w:rPr>
          <w:rFonts w:ascii="Arial" w:hAnsi="Arial" w:cs="Arial"/>
          <w:sz w:val="24"/>
          <w:szCs w:val="24"/>
        </w:rPr>
        <w:t xml:space="preserve"> zásahu do tržního prostředí, </w:t>
      </w:r>
      <w:r w:rsidR="00037A42" w:rsidRPr="00D44B65">
        <w:rPr>
          <w:rFonts w:ascii="Arial" w:hAnsi="Arial" w:cs="Arial"/>
          <w:sz w:val="24"/>
          <w:szCs w:val="24"/>
        </w:rPr>
        <w:t>omezování nechráněných zákazníků.</w:t>
      </w:r>
      <w:r w:rsidR="0049546D" w:rsidRPr="00D44B65">
        <w:rPr>
          <w:rFonts w:ascii="Arial" w:hAnsi="Arial" w:cs="Arial"/>
          <w:sz w:val="24"/>
          <w:szCs w:val="24"/>
        </w:rPr>
        <w:t xml:space="preserve"> </w:t>
      </w:r>
    </w:p>
    <w:p w:rsidR="004705E3" w:rsidRPr="00D44B65" w:rsidRDefault="004705E3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802E8F" w:rsidRPr="00D44B65" w:rsidRDefault="007D0833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Ad e)</w:t>
      </w:r>
      <w:r w:rsidRPr="00D44B65">
        <w:rPr>
          <w:rFonts w:ascii="Arial" w:hAnsi="Arial" w:cs="Arial"/>
          <w:sz w:val="24"/>
          <w:szCs w:val="24"/>
        </w:rPr>
        <w:tab/>
      </w:r>
      <w:r w:rsidR="00825CE8" w:rsidRPr="00D44B65">
        <w:rPr>
          <w:rFonts w:ascii="Arial" w:hAnsi="Arial" w:cs="Arial"/>
          <w:sz w:val="24"/>
          <w:szCs w:val="24"/>
        </w:rPr>
        <w:t xml:space="preserve">S výjimkou motivace odezvy na poptávku, která je v rámci režimu mezistátní pomoci obtížně představitelná (viz od b), lze </w:t>
      </w:r>
      <w:r w:rsidR="00F66CF3" w:rsidRPr="00D44B65">
        <w:rPr>
          <w:rFonts w:ascii="Arial" w:hAnsi="Arial" w:cs="Arial"/>
          <w:sz w:val="24"/>
          <w:szCs w:val="24"/>
        </w:rPr>
        <w:t>souhlasit</w:t>
      </w:r>
      <w:r w:rsidR="00B72190" w:rsidRPr="00D44B65">
        <w:rPr>
          <w:rFonts w:ascii="Arial" w:hAnsi="Arial" w:cs="Arial"/>
          <w:sz w:val="24"/>
          <w:szCs w:val="24"/>
        </w:rPr>
        <w:t>.</w:t>
      </w:r>
    </w:p>
    <w:p w:rsidR="004705E3" w:rsidRPr="00D44B65" w:rsidRDefault="004705E3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C65C2B" w:rsidRPr="00D44B65" w:rsidRDefault="00F66CF3" w:rsidP="0029477A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Ad f)</w:t>
      </w:r>
      <w:r w:rsidRPr="00D44B65">
        <w:rPr>
          <w:rFonts w:ascii="Arial" w:hAnsi="Arial" w:cs="Arial"/>
          <w:sz w:val="24"/>
          <w:szCs w:val="24"/>
        </w:rPr>
        <w:tab/>
      </w:r>
      <w:r w:rsidR="001A12CE" w:rsidRPr="00D44B65">
        <w:rPr>
          <w:rFonts w:ascii="Arial" w:hAnsi="Arial" w:cs="Arial"/>
          <w:sz w:val="24"/>
          <w:szCs w:val="24"/>
        </w:rPr>
        <w:t>Otázka nastavení rámce je klíčová. Ústřední úlohu po aktivaci čl</w:t>
      </w:r>
      <w:r w:rsidR="00991676" w:rsidRPr="00D44B65">
        <w:rPr>
          <w:rFonts w:ascii="Arial" w:hAnsi="Arial" w:cs="Arial"/>
          <w:sz w:val="24"/>
          <w:szCs w:val="24"/>
        </w:rPr>
        <w:t>.</w:t>
      </w:r>
      <w:r w:rsidR="001A12CE" w:rsidRPr="00D44B65">
        <w:rPr>
          <w:rFonts w:ascii="Arial" w:hAnsi="Arial" w:cs="Arial"/>
          <w:sz w:val="24"/>
          <w:szCs w:val="24"/>
        </w:rPr>
        <w:t xml:space="preserve"> 12 nařízení musí v</w:t>
      </w:r>
      <w:r w:rsidR="00693970" w:rsidRPr="00D44B65">
        <w:rPr>
          <w:rFonts w:ascii="Arial" w:hAnsi="Arial" w:cs="Arial"/>
          <w:sz w:val="24"/>
          <w:szCs w:val="24"/>
        </w:rPr>
        <w:t xml:space="preserve"> daném </w:t>
      </w:r>
      <w:r w:rsidR="001A12CE" w:rsidRPr="00D44B65">
        <w:rPr>
          <w:rFonts w:ascii="Arial" w:hAnsi="Arial" w:cs="Arial"/>
          <w:sz w:val="24"/>
          <w:szCs w:val="24"/>
        </w:rPr>
        <w:t xml:space="preserve">rámci hrát </w:t>
      </w:r>
      <w:r w:rsidR="00693970" w:rsidRPr="00D44B65">
        <w:rPr>
          <w:rFonts w:ascii="Arial" w:hAnsi="Arial" w:cs="Arial"/>
          <w:sz w:val="24"/>
          <w:szCs w:val="24"/>
        </w:rPr>
        <w:t>stát (politická reprezentace)</w:t>
      </w:r>
      <w:r w:rsidR="001A12CE" w:rsidRPr="00D44B65">
        <w:rPr>
          <w:rFonts w:ascii="Arial" w:hAnsi="Arial" w:cs="Arial"/>
          <w:sz w:val="24"/>
          <w:szCs w:val="24"/>
        </w:rPr>
        <w:t>, jehož rozhodnutí</w:t>
      </w:r>
      <w:r w:rsidR="00693970" w:rsidRPr="00D44B65">
        <w:rPr>
          <w:rFonts w:ascii="Arial" w:hAnsi="Arial" w:cs="Arial"/>
          <w:sz w:val="24"/>
          <w:szCs w:val="24"/>
        </w:rPr>
        <w:t>m</w:t>
      </w:r>
      <w:r w:rsidR="001A12CE" w:rsidRPr="00D44B65">
        <w:rPr>
          <w:rFonts w:ascii="Arial" w:hAnsi="Arial" w:cs="Arial"/>
          <w:sz w:val="24"/>
          <w:szCs w:val="24"/>
        </w:rPr>
        <w:t xml:space="preserve"> budou podřízeny ostatní zainteresované </w:t>
      </w:r>
      <w:r w:rsidR="00693970" w:rsidRPr="00D44B65">
        <w:rPr>
          <w:rFonts w:ascii="Arial" w:hAnsi="Arial" w:cs="Arial"/>
          <w:sz w:val="24"/>
          <w:szCs w:val="24"/>
        </w:rPr>
        <w:t>státní složky, orgány i</w:t>
      </w:r>
      <w:r w:rsidR="001A12CE" w:rsidRPr="00D44B65">
        <w:rPr>
          <w:rFonts w:ascii="Arial" w:hAnsi="Arial" w:cs="Arial"/>
          <w:sz w:val="24"/>
          <w:szCs w:val="24"/>
        </w:rPr>
        <w:t> </w:t>
      </w:r>
      <w:r w:rsidR="00693970" w:rsidRPr="00D44B65">
        <w:rPr>
          <w:rFonts w:ascii="Arial" w:hAnsi="Arial" w:cs="Arial"/>
          <w:sz w:val="24"/>
          <w:szCs w:val="24"/>
        </w:rPr>
        <w:t xml:space="preserve">profesní </w:t>
      </w:r>
      <w:r w:rsidR="001A12CE" w:rsidRPr="00D44B65">
        <w:rPr>
          <w:rFonts w:ascii="Arial" w:hAnsi="Arial" w:cs="Arial"/>
          <w:sz w:val="24"/>
          <w:szCs w:val="24"/>
        </w:rPr>
        <w:t xml:space="preserve">aktéři. </w:t>
      </w:r>
      <w:r w:rsidR="00825CE8" w:rsidRPr="00D44B65">
        <w:rPr>
          <w:rFonts w:ascii="Arial" w:hAnsi="Arial" w:cs="Arial"/>
          <w:sz w:val="24"/>
          <w:szCs w:val="24"/>
        </w:rPr>
        <w:t xml:space="preserve">Úloha národního regulátora může být za </w:t>
      </w:r>
      <w:r w:rsidR="001A12CE" w:rsidRPr="00D44B65">
        <w:rPr>
          <w:rFonts w:ascii="Arial" w:hAnsi="Arial" w:cs="Arial"/>
          <w:sz w:val="24"/>
          <w:szCs w:val="24"/>
        </w:rPr>
        <w:t xml:space="preserve">této </w:t>
      </w:r>
      <w:r w:rsidR="00825CE8" w:rsidRPr="00D44B65">
        <w:rPr>
          <w:rFonts w:ascii="Arial" w:hAnsi="Arial" w:cs="Arial"/>
          <w:sz w:val="24"/>
          <w:szCs w:val="24"/>
        </w:rPr>
        <w:t xml:space="preserve">situace </w:t>
      </w:r>
      <w:r w:rsidR="001A12CE" w:rsidRPr="00D44B65">
        <w:rPr>
          <w:rFonts w:ascii="Arial" w:hAnsi="Arial" w:cs="Arial"/>
          <w:sz w:val="24"/>
          <w:szCs w:val="24"/>
        </w:rPr>
        <w:t>důležitá, ale pouze jako zprostředkovatele při plnění rozhodnutí státu</w:t>
      </w:r>
      <w:r w:rsidR="00B45A69">
        <w:rPr>
          <w:rFonts w:ascii="Arial" w:hAnsi="Arial" w:cs="Arial"/>
          <w:sz w:val="24"/>
          <w:szCs w:val="24"/>
        </w:rPr>
        <w:t xml:space="preserve"> (nikoliv jako orgán, který se podílí na vyčíslení škod u zákazníků, kteří poskytli plyn)</w:t>
      </w:r>
      <w:r w:rsidR="001A12CE" w:rsidRPr="00D44B65">
        <w:rPr>
          <w:rFonts w:ascii="Arial" w:hAnsi="Arial" w:cs="Arial"/>
          <w:sz w:val="24"/>
          <w:szCs w:val="24"/>
        </w:rPr>
        <w:t xml:space="preserve">. Stát by jako jediný měl právo </w:t>
      </w:r>
      <w:r w:rsidR="007E4E7E" w:rsidRPr="00D44B65">
        <w:rPr>
          <w:rFonts w:ascii="Arial" w:hAnsi="Arial" w:cs="Arial"/>
          <w:sz w:val="24"/>
          <w:szCs w:val="24"/>
        </w:rPr>
        <w:t>rozhodnout o</w:t>
      </w:r>
      <w:r w:rsidR="00DB28D6" w:rsidRPr="00D44B65">
        <w:rPr>
          <w:rFonts w:ascii="Arial" w:hAnsi="Arial" w:cs="Arial"/>
          <w:sz w:val="24"/>
          <w:szCs w:val="24"/>
        </w:rPr>
        <w:t> příležitostném nákupu dodatečných objemů plynu mimo region postižený krizí. Toto právo by mohl delegovat.</w:t>
      </w:r>
    </w:p>
    <w:p w:rsidR="00BC1F72" w:rsidRDefault="00BC1F72" w:rsidP="007C53EC">
      <w:pPr>
        <w:tabs>
          <w:tab w:val="left" w:pos="709"/>
        </w:tabs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 xml:space="preserve">Úloha </w:t>
      </w:r>
      <w:r w:rsidR="00BE5E3B" w:rsidRPr="00D44B65">
        <w:rPr>
          <w:rFonts w:ascii="Arial" w:hAnsi="Arial" w:cs="Arial"/>
          <w:sz w:val="24"/>
          <w:szCs w:val="24"/>
        </w:rPr>
        <w:t>provozovatele přepravní soustavy</w:t>
      </w:r>
      <w:r w:rsidRPr="00D44B65">
        <w:rPr>
          <w:rFonts w:ascii="Arial" w:hAnsi="Arial" w:cs="Arial"/>
          <w:sz w:val="24"/>
          <w:szCs w:val="24"/>
        </w:rPr>
        <w:t xml:space="preserve"> při</w:t>
      </w:r>
      <w:r w:rsidR="007C53EC">
        <w:rPr>
          <w:rFonts w:ascii="Arial" w:hAnsi="Arial" w:cs="Arial"/>
          <w:sz w:val="24"/>
          <w:szCs w:val="24"/>
        </w:rPr>
        <w:t xml:space="preserve"> řízení národních plynárenských </w:t>
      </w:r>
      <w:r w:rsidRPr="00D44B65">
        <w:rPr>
          <w:rFonts w:ascii="Arial" w:hAnsi="Arial" w:cs="Arial"/>
          <w:sz w:val="24"/>
          <w:szCs w:val="24"/>
        </w:rPr>
        <w:t>soustav a spoluprác</w:t>
      </w:r>
      <w:r w:rsidR="00BE5E3B" w:rsidRPr="00D44B65">
        <w:rPr>
          <w:rFonts w:ascii="Arial" w:hAnsi="Arial" w:cs="Arial"/>
          <w:sz w:val="24"/>
          <w:szCs w:val="24"/>
        </w:rPr>
        <w:t>e</w:t>
      </w:r>
      <w:r w:rsidRPr="00D44B65">
        <w:rPr>
          <w:rFonts w:ascii="Arial" w:hAnsi="Arial" w:cs="Arial"/>
          <w:sz w:val="24"/>
          <w:szCs w:val="24"/>
        </w:rPr>
        <w:t xml:space="preserve"> s ostatními </w:t>
      </w:r>
      <w:r w:rsidR="00BE5E3B" w:rsidRPr="00D44B65">
        <w:rPr>
          <w:rFonts w:ascii="Arial" w:hAnsi="Arial" w:cs="Arial"/>
          <w:sz w:val="24"/>
          <w:szCs w:val="24"/>
        </w:rPr>
        <w:t>provozovateli přepravních soustav</w:t>
      </w:r>
      <w:r w:rsidRPr="00D44B65">
        <w:rPr>
          <w:rFonts w:ascii="Arial" w:hAnsi="Arial" w:cs="Arial"/>
          <w:sz w:val="24"/>
          <w:szCs w:val="24"/>
        </w:rPr>
        <w:t xml:space="preserve"> při řešení krizových situací je nezastupitelná ale </w:t>
      </w:r>
      <w:r w:rsidR="00FD2932" w:rsidRPr="00D44B65">
        <w:rPr>
          <w:rFonts w:ascii="Arial" w:hAnsi="Arial" w:cs="Arial"/>
          <w:sz w:val="24"/>
          <w:szCs w:val="24"/>
        </w:rPr>
        <w:t xml:space="preserve">považujeme za nereálné, aby shromažďováním, verifikací a reportováním kompenzačních požadavků do jiného státu byl pověřen </w:t>
      </w:r>
      <w:r w:rsidR="00BE5E3B" w:rsidRPr="00D44B65">
        <w:rPr>
          <w:rFonts w:ascii="Arial" w:hAnsi="Arial" w:cs="Arial"/>
          <w:sz w:val="24"/>
          <w:szCs w:val="24"/>
        </w:rPr>
        <w:t xml:space="preserve">právě </w:t>
      </w:r>
      <w:r w:rsidR="00FD2932" w:rsidRPr="00D44B65">
        <w:rPr>
          <w:rFonts w:ascii="Arial" w:hAnsi="Arial" w:cs="Arial"/>
          <w:sz w:val="24"/>
          <w:szCs w:val="24"/>
        </w:rPr>
        <w:t>provozovatel přepravní soustavy</w:t>
      </w:r>
      <w:r w:rsidRPr="00D44B65">
        <w:rPr>
          <w:rFonts w:ascii="Arial" w:hAnsi="Arial" w:cs="Arial"/>
          <w:sz w:val="24"/>
          <w:szCs w:val="24"/>
        </w:rPr>
        <w:t>.</w:t>
      </w:r>
    </w:p>
    <w:p w:rsidR="004D5906" w:rsidRPr="00D44B65" w:rsidRDefault="004D5906" w:rsidP="007C53EC">
      <w:pPr>
        <w:tabs>
          <w:tab w:val="left" w:pos="709"/>
        </w:tabs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DB28D6" w:rsidRPr="00D44B65" w:rsidRDefault="00DB28D6" w:rsidP="005963DB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Ad g)</w:t>
      </w:r>
      <w:r w:rsidRPr="00D44B65">
        <w:rPr>
          <w:rFonts w:ascii="Arial" w:hAnsi="Arial" w:cs="Arial"/>
          <w:sz w:val="24"/>
          <w:szCs w:val="24"/>
        </w:rPr>
        <w:tab/>
        <w:t xml:space="preserve">Stanovení alespoň orientačních objemů </w:t>
      </w:r>
      <w:r w:rsidR="00822ECE" w:rsidRPr="00D44B65">
        <w:rPr>
          <w:rFonts w:ascii="Arial" w:hAnsi="Arial" w:cs="Arial"/>
          <w:sz w:val="24"/>
          <w:szCs w:val="24"/>
        </w:rPr>
        <w:t xml:space="preserve">chybějícího </w:t>
      </w:r>
      <w:r w:rsidRPr="00D44B65">
        <w:rPr>
          <w:rFonts w:ascii="Arial" w:hAnsi="Arial" w:cs="Arial"/>
          <w:sz w:val="24"/>
          <w:szCs w:val="24"/>
        </w:rPr>
        <w:t>plynu</w:t>
      </w:r>
      <w:r w:rsidR="00822ECE" w:rsidRPr="00D44B65">
        <w:rPr>
          <w:rFonts w:ascii="Arial" w:hAnsi="Arial" w:cs="Arial"/>
          <w:sz w:val="24"/>
          <w:szCs w:val="24"/>
        </w:rPr>
        <w:t xml:space="preserve"> pro pokrytí chráněných zákazníků</w:t>
      </w:r>
      <w:r w:rsidRPr="00D44B65">
        <w:rPr>
          <w:rFonts w:ascii="Arial" w:hAnsi="Arial" w:cs="Arial"/>
          <w:sz w:val="24"/>
          <w:szCs w:val="24"/>
        </w:rPr>
        <w:t xml:space="preserve"> ve vazbě na povětrnostní podmínky </w:t>
      </w:r>
      <w:r w:rsidR="00D44B65">
        <w:rPr>
          <w:rFonts w:ascii="Arial" w:hAnsi="Arial" w:cs="Arial"/>
          <w:sz w:val="24"/>
          <w:szCs w:val="24"/>
        </w:rPr>
        <w:t>je reálné</w:t>
      </w:r>
      <w:r w:rsidRPr="00D44B65">
        <w:rPr>
          <w:rFonts w:ascii="Arial" w:hAnsi="Arial" w:cs="Arial"/>
          <w:sz w:val="24"/>
          <w:szCs w:val="24"/>
        </w:rPr>
        <w:t>.</w:t>
      </w:r>
    </w:p>
    <w:p w:rsidR="00DB28D6" w:rsidRDefault="00DB28D6" w:rsidP="00DB2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0309" w:rsidRDefault="00C10309" w:rsidP="00B45A69">
      <w:pPr>
        <w:tabs>
          <w:tab w:val="left" w:pos="851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B45A69" w:rsidRPr="00D44B65" w:rsidRDefault="00B45A69" w:rsidP="00B45A69">
      <w:pPr>
        <w:tabs>
          <w:tab w:val="left" w:pos="851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4B65">
        <w:rPr>
          <w:rFonts w:ascii="Arial" w:hAnsi="Arial" w:cs="Arial"/>
          <w:sz w:val="24"/>
          <w:szCs w:val="24"/>
        </w:rPr>
        <w:t>K příkladu možného mechanismu uvedenému v materiálu zaujímáme toto stanovisko:</w:t>
      </w:r>
    </w:p>
    <w:p w:rsidR="00B45A69" w:rsidRPr="00D44B65" w:rsidRDefault="00B45A69" w:rsidP="00B45A69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Plně souhlasíme s první fází, tj. maximálním zapojením dohod primárně mezi obchodníky ale i dalšími aktéry, která se plně osvědčila i při řešení situace počátkem r. 2009 mezi ČR a Slovenskem.</w:t>
      </w:r>
    </w:p>
    <w:p w:rsidR="00B45A69" w:rsidRPr="00D44B65" w:rsidRDefault="00440E74" w:rsidP="00B45A69">
      <w:pPr>
        <w:pStyle w:val="Odstavecseseznamem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45A69" w:rsidRPr="00D44B65">
        <w:rPr>
          <w:rFonts w:ascii="Arial" w:hAnsi="Arial" w:cs="Arial"/>
          <w:sz w:val="24"/>
          <w:szCs w:val="24"/>
        </w:rPr>
        <w:t>ávrh zakotvený ve druhé fázi tedy vytvoření systému pozitivních pobídek pro nechráněné zákazníky směrem k úsporám plynu v případě vyhlášení krizového stavu (motivace ke snižování nominací)principiálně podporujeme</w:t>
      </w:r>
      <w:r>
        <w:rPr>
          <w:rFonts w:ascii="Arial" w:hAnsi="Arial" w:cs="Arial"/>
          <w:sz w:val="24"/>
          <w:szCs w:val="24"/>
        </w:rPr>
        <w:t xml:space="preserve">. Jeho účinnost v reálné situaci však vidíme jako problematickou (viz výše </w:t>
      </w:r>
      <w:proofErr w:type="spellStart"/>
      <w:r>
        <w:rPr>
          <w:rFonts w:ascii="Arial" w:hAnsi="Arial" w:cs="Arial"/>
          <w:sz w:val="24"/>
          <w:szCs w:val="24"/>
        </w:rPr>
        <w:t>VoLL</w:t>
      </w:r>
      <w:proofErr w:type="spellEnd"/>
      <w:r>
        <w:rPr>
          <w:rFonts w:ascii="Arial" w:hAnsi="Arial" w:cs="Arial"/>
          <w:sz w:val="24"/>
          <w:szCs w:val="24"/>
        </w:rPr>
        <w:t xml:space="preserve"> u jednotlivých kategorií zákazníků).</w:t>
      </w:r>
    </w:p>
    <w:p w:rsidR="00B45A69" w:rsidRPr="00D44B65" w:rsidRDefault="00B45A69" w:rsidP="00B45A69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Třetí fázi považujeme z výše uvedených důvodů za značně problematickou.</w:t>
      </w:r>
    </w:p>
    <w:p w:rsidR="00B45A69" w:rsidRPr="00D44B65" w:rsidRDefault="00B45A69" w:rsidP="00B45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A69" w:rsidRPr="00D44B65" w:rsidRDefault="00B45A69" w:rsidP="00B45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4B65">
        <w:rPr>
          <w:rFonts w:ascii="Arial" w:hAnsi="Arial" w:cs="Arial"/>
          <w:sz w:val="24"/>
          <w:szCs w:val="24"/>
        </w:rPr>
        <w:t>V případném zavedení principu solidarity na této úrovni rozpracovanosti spatřujeme spíš rizika, jejichž potenciální negativní dopady na trh s plynem v EU převažují nad potencionálními přínosy.</w:t>
      </w:r>
    </w:p>
    <w:p w:rsidR="00B45A69" w:rsidRPr="00D44B65" w:rsidRDefault="00B45A69" w:rsidP="00B45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5C2D" w:rsidRPr="00D44B65" w:rsidRDefault="002A5C2D" w:rsidP="00DB28D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2A5C2D" w:rsidRPr="00D44B65" w:rsidSect="007D2DA3">
      <w:footerReference w:type="default" r:id="rId8"/>
      <w:headerReference w:type="first" r:id="rId9"/>
      <w:pgSz w:w="11906" w:h="16838" w:code="9"/>
      <w:pgMar w:top="1805" w:right="1418" w:bottom="709" w:left="1418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D4" w:rsidRDefault="00BA12D4" w:rsidP="00BF2205">
      <w:pPr>
        <w:spacing w:after="0" w:line="240" w:lineRule="auto"/>
      </w:pPr>
      <w:r>
        <w:separator/>
      </w:r>
    </w:p>
  </w:endnote>
  <w:endnote w:type="continuationSeparator" w:id="0">
    <w:p w:rsidR="00BA12D4" w:rsidRDefault="00BA12D4" w:rsidP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D0" w:rsidRPr="005D2E45" w:rsidRDefault="00BA12D4" w:rsidP="005D2E45">
    <w:pPr>
      <w:pStyle w:val="Zpat"/>
      <w:jc w:val="center"/>
      <w:rPr>
        <w:rFonts w:ascii="Arial" w:hAnsi="Arial" w:cs="Arial"/>
        <w:sz w:val="24"/>
        <w:szCs w:val="24"/>
      </w:rPr>
    </w:pPr>
    <w:sdt>
      <w:sdtPr>
        <w:id w:val="1928847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r w:rsidR="00C23806" w:rsidRPr="005D2E45">
          <w:rPr>
            <w:rFonts w:ascii="Arial" w:hAnsi="Arial" w:cs="Arial"/>
            <w:sz w:val="24"/>
            <w:szCs w:val="24"/>
          </w:rPr>
          <w:fldChar w:fldCharType="begin"/>
        </w:r>
        <w:r w:rsidR="00592CD0" w:rsidRPr="005D2E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C23806" w:rsidRPr="005D2E45">
          <w:rPr>
            <w:rFonts w:ascii="Arial" w:hAnsi="Arial" w:cs="Arial"/>
            <w:sz w:val="24"/>
            <w:szCs w:val="24"/>
          </w:rPr>
          <w:fldChar w:fldCharType="separate"/>
        </w:r>
        <w:r w:rsidR="00C10309">
          <w:rPr>
            <w:rFonts w:ascii="Arial" w:hAnsi="Arial" w:cs="Arial"/>
            <w:noProof/>
            <w:sz w:val="24"/>
            <w:szCs w:val="24"/>
          </w:rPr>
          <w:t>2</w:t>
        </w:r>
        <w:r w:rsidR="00C23806" w:rsidRPr="005D2E45">
          <w:rPr>
            <w:rFonts w:ascii="Arial" w:hAnsi="Arial" w:cs="Arial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D4" w:rsidRDefault="00BA12D4" w:rsidP="00BF2205">
      <w:pPr>
        <w:spacing w:after="0" w:line="240" w:lineRule="auto"/>
      </w:pPr>
      <w:r>
        <w:separator/>
      </w:r>
    </w:p>
  </w:footnote>
  <w:footnote w:type="continuationSeparator" w:id="0">
    <w:p w:rsidR="00BA12D4" w:rsidRDefault="00BA12D4" w:rsidP="00BF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D0" w:rsidRDefault="00592CD0" w:rsidP="00BF2205">
    <w:pPr>
      <w:pStyle w:val="Zhlav"/>
      <w:jc w:val="center"/>
    </w:pPr>
    <w:r w:rsidRPr="00BF2205">
      <w:rPr>
        <w:noProof/>
      </w:rPr>
      <w:drawing>
        <wp:inline distT="0" distB="0" distL="0" distR="0">
          <wp:extent cx="2819400" cy="76146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367" cy="76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3A8"/>
    <w:multiLevelType w:val="hybridMultilevel"/>
    <w:tmpl w:val="A532F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4986"/>
    <w:multiLevelType w:val="hybridMultilevel"/>
    <w:tmpl w:val="E144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42655"/>
    <w:multiLevelType w:val="hybridMultilevel"/>
    <w:tmpl w:val="FE5A76A2"/>
    <w:lvl w:ilvl="0" w:tplc="5080C44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89"/>
    <w:rsid w:val="00003994"/>
    <w:rsid w:val="000156A4"/>
    <w:rsid w:val="0002530C"/>
    <w:rsid w:val="00037A42"/>
    <w:rsid w:val="00044CE3"/>
    <w:rsid w:val="00070E53"/>
    <w:rsid w:val="00074A58"/>
    <w:rsid w:val="00075907"/>
    <w:rsid w:val="000A3831"/>
    <w:rsid w:val="000A3E50"/>
    <w:rsid w:val="000A722D"/>
    <w:rsid w:val="000B5363"/>
    <w:rsid w:val="000E1B2A"/>
    <w:rsid w:val="000E63C3"/>
    <w:rsid w:val="001168DA"/>
    <w:rsid w:val="001241DC"/>
    <w:rsid w:val="00127088"/>
    <w:rsid w:val="00167965"/>
    <w:rsid w:val="00177662"/>
    <w:rsid w:val="001A12CE"/>
    <w:rsid w:val="001B5236"/>
    <w:rsid w:val="001B584B"/>
    <w:rsid w:val="001C6699"/>
    <w:rsid w:val="001D45A3"/>
    <w:rsid w:val="001D7BF9"/>
    <w:rsid w:val="00226B19"/>
    <w:rsid w:val="00227A45"/>
    <w:rsid w:val="002310B9"/>
    <w:rsid w:val="00231A35"/>
    <w:rsid w:val="002345BA"/>
    <w:rsid w:val="00250186"/>
    <w:rsid w:val="00251D56"/>
    <w:rsid w:val="0025534B"/>
    <w:rsid w:val="0026061A"/>
    <w:rsid w:val="00264690"/>
    <w:rsid w:val="00285A8A"/>
    <w:rsid w:val="00291181"/>
    <w:rsid w:val="002922D5"/>
    <w:rsid w:val="00292BE2"/>
    <w:rsid w:val="0029477A"/>
    <w:rsid w:val="002A5C2D"/>
    <w:rsid w:val="002C20C1"/>
    <w:rsid w:val="002C622C"/>
    <w:rsid w:val="002C7057"/>
    <w:rsid w:val="002C7F5D"/>
    <w:rsid w:val="002D5293"/>
    <w:rsid w:val="002E2CC4"/>
    <w:rsid w:val="002E37CD"/>
    <w:rsid w:val="002E3854"/>
    <w:rsid w:val="002F6080"/>
    <w:rsid w:val="00317B26"/>
    <w:rsid w:val="00343BBB"/>
    <w:rsid w:val="003444E8"/>
    <w:rsid w:val="00364294"/>
    <w:rsid w:val="00364CE7"/>
    <w:rsid w:val="00376EA8"/>
    <w:rsid w:val="003D29A2"/>
    <w:rsid w:val="003F5EDE"/>
    <w:rsid w:val="004002B0"/>
    <w:rsid w:val="0040595B"/>
    <w:rsid w:val="00405C55"/>
    <w:rsid w:val="00410368"/>
    <w:rsid w:val="00425F0F"/>
    <w:rsid w:val="00436160"/>
    <w:rsid w:val="00440E74"/>
    <w:rsid w:val="004705E3"/>
    <w:rsid w:val="00470B4B"/>
    <w:rsid w:val="00476A54"/>
    <w:rsid w:val="004770A9"/>
    <w:rsid w:val="00493804"/>
    <w:rsid w:val="0049546D"/>
    <w:rsid w:val="004975E1"/>
    <w:rsid w:val="00497A5A"/>
    <w:rsid w:val="004A4B07"/>
    <w:rsid w:val="004B4B8F"/>
    <w:rsid w:val="004D5906"/>
    <w:rsid w:val="004F0FEF"/>
    <w:rsid w:val="004F500E"/>
    <w:rsid w:val="004F517C"/>
    <w:rsid w:val="00506824"/>
    <w:rsid w:val="00507A7E"/>
    <w:rsid w:val="00513661"/>
    <w:rsid w:val="00515263"/>
    <w:rsid w:val="005253B1"/>
    <w:rsid w:val="00525A13"/>
    <w:rsid w:val="005437B9"/>
    <w:rsid w:val="00543B85"/>
    <w:rsid w:val="00551796"/>
    <w:rsid w:val="00561794"/>
    <w:rsid w:val="00562211"/>
    <w:rsid w:val="00573B8E"/>
    <w:rsid w:val="0057447C"/>
    <w:rsid w:val="00585489"/>
    <w:rsid w:val="00592CD0"/>
    <w:rsid w:val="005963DB"/>
    <w:rsid w:val="005A229D"/>
    <w:rsid w:val="005B7231"/>
    <w:rsid w:val="005B79D3"/>
    <w:rsid w:val="005C37A5"/>
    <w:rsid w:val="005C3C5A"/>
    <w:rsid w:val="005C439B"/>
    <w:rsid w:val="005C7166"/>
    <w:rsid w:val="005D2E45"/>
    <w:rsid w:val="005D47CC"/>
    <w:rsid w:val="005F6E5D"/>
    <w:rsid w:val="0061723C"/>
    <w:rsid w:val="006238D6"/>
    <w:rsid w:val="00631C0E"/>
    <w:rsid w:val="00637EFC"/>
    <w:rsid w:val="0065087E"/>
    <w:rsid w:val="00653F40"/>
    <w:rsid w:val="006571A9"/>
    <w:rsid w:val="00674408"/>
    <w:rsid w:val="00687ADF"/>
    <w:rsid w:val="00693970"/>
    <w:rsid w:val="006A6A70"/>
    <w:rsid w:val="006B6953"/>
    <w:rsid w:val="006C2E0E"/>
    <w:rsid w:val="007042B9"/>
    <w:rsid w:val="00723DE5"/>
    <w:rsid w:val="007370FC"/>
    <w:rsid w:val="00751766"/>
    <w:rsid w:val="007714AC"/>
    <w:rsid w:val="00776768"/>
    <w:rsid w:val="007867A0"/>
    <w:rsid w:val="007928EB"/>
    <w:rsid w:val="007B7DA2"/>
    <w:rsid w:val="007C53EC"/>
    <w:rsid w:val="007C5F94"/>
    <w:rsid w:val="007D0833"/>
    <w:rsid w:val="007D0EDF"/>
    <w:rsid w:val="007D2DA3"/>
    <w:rsid w:val="007D5E8B"/>
    <w:rsid w:val="007D64AB"/>
    <w:rsid w:val="007E4E7E"/>
    <w:rsid w:val="007F3A82"/>
    <w:rsid w:val="007F7FA2"/>
    <w:rsid w:val="00802893"/>
    <w:rsid w:val="00802E8F"/>
    <w:rsid w:val="00804E7A"/>
    <w:rsid w:val="00813081"/>
    <w:rsid w:val="00816061"/>
    <w:rsid w:val="00821D9C"/>
    <w:rsid w:val="00822ECE"/>
    <w:rsid w:val="008236F7"/>
    <w:rsid w:val="00825CE8"/>
    <w:rsid w:val="00844484"/>
    <w:rsid w:val="00871D4D"/>
    <w:rsid w:val="008726B9"/>
    <w:rsid w:val="00881B85"/>
    <w:rsid w:val="00881C62"/>
    <w:rsid w:val="008941BA"/>
    <w:rsid w:val="008A2A8A"/>
    <w:rsid w:val="008A39C1"/>
    <w:rsid w:val="008A5215"/>
    <w:rsid w:val="008A5C58"/>
    <w:rsid w:val="008B7479"/>
    <w:rsid w:val="008D2855"/>
    <w:rsid w:val="008D347D"/>
    <w:rsid w:val="008D7B7D"/>
    <w:rsid w:val="008E34E2"/>
    <w:rsid w:val="008E5402"/>
    <w:rsid w:val="008F1CB5"/>
    <w:rsid w:val="00907525"/>
    <w:rsid w:val="0091708E"/>
    <w:rsid w:val="00924931"/>
    <w:rsid w:val="009322FD"/>
    <w:rsid w:val="009369FF"/>
    <w:rsid w:val="00936F6D"/>
    <w:rsid w:val="00937120"/>
    <w:rsid w:val="00963599"/>
    <w:rsid w:val="00972521"/>
    <w:rsid w:val="00984DF8"/>
    <w:rsid w:val="00991676"/>
    <w:rsid w:val="009A02EF"/>
    <w:rsid w:val="009D2505"/>
    <w:rsid w:val="009D4319"/>
    <w:rsid w:val="009E4551"/>
    <w:rsid w:val="009F448A"/>
    <w:rsid w:val="00A0422C"/>
    <w:rsid w:val="00A11008"/>
    <w:rsid w:val="00A15687"/>
    <w:rsid w:val="00A2076F"/>
    <w:rsid w:val="00A5015F"/>
    <w:rsid w:val="00A55CC0"/>
    <w:rsid w:val="00A73062"/>
    <w:rsid w:val="00A772CA"/>
    <w:rsid w:val="00A82689"/>
    <w:rsid w:val="00A852DC"/>
    <w:rsid w:val="00A9576B"/>
    <w:rsid w:val="00A95D00"/>
    <w:rsid w:val="00A96EDE"/>
    <w:rsid w:val="00AA2A47"/>
    <w:rsid w:val="00AB7877"/>
    <w:rsid w:val="00AC42F0"/>
    <w:rsid w:val="00B05ECB"/>
    <w:rsid w:val="00B21E18"/>
    <w:rsid w:val="00B37A55"/>
    <w:rsid w:val="00B45A69"/>
    <w:rsid w:val="00B505DD"/>
    <w:rsid w:val="00B52825"/>
    <w:rsid w:val="00B617BC"/>
    <w:rsid w:val="00B63787"/>
    <w:rsid w:val="00B64BEA"/>
    <w:rsid w:val="00B72190"/>
    <w:rsid w:val="00B80B2F"/>
    <w:rsid w:val="00B90098"/>
    <w:rsid w:val="00BA12D4"/>
    <w:rsid w:val="00BA32EF"/>
    <w:rsid w:val="00BA4089"/>
    <w:rsid w:val="00BA60D8"/>
    <w:rsid w:val="00BB580B"/>
    <w:rsid w:val="00BC1F72"/>
    <w:rsid w:val="00BD3861"/>
    <w:rsid w:val="00BE425B"/>
    <w:rsid w:val="00BE5E3B"/>
    <w:rsid w:val="00BF0CDC"/>
    <w:rsid w:val="00BF2205"/>
    <w:rsid w:val="00C10309"/>
    <w:rsid w:val="00C10F84"/>
    <w:rsid w:val="00C17EBB"/>
    <w:rsid w:val="00C23806"/>
    <w:rsid w:val="00C25559"/>
    <w:rsid w:val="00C263A2"/>
    <w:rsid w:val="00C371F1"/>
    <w:rsid w:val="00C424E5"/>
    <w:rsid w:val="00C52E20"/>
    <w:rsid w:val="00C6343E"/>
    <w:rsid w:val="00C65C2B"/>
    <w:rsid w:val="00C75BD1"/>
    <w:rsid w:val="00C824DD"/>
    <w:rsid w:val="00C842B7"/>
    <w:rsid w:val="00C84AD3"/>
    <w:rsid w:val="00C84C5E"/>
    <w:rsid w:val="00C9093F"/>
    <w:rsid w:val="00CB3BAE"/>
    <w:rsid w:val="00CC3678"/>
    <w:rsid w:val="00CC3EBB"/>
    <w:rsid w:val="00CE62C4"/>
    <w:rsid w:val="00CF6902"/>
    <w:rsid w:val="00D1510D"/>
    <w:rsid w:val="00D23733"/>
    <w:rsid w:val="00D26061"/>
    <w:rsid w:val="00D42E29"/>
    <w:rsid w:val="00D44B65"/>
    <w:rsid w:val="00D636E4"/>
    <w:rsid w:val="00D643E4"/>
    <w:rsid w:val="00D801D1"/>
    <w:rsid w:val="00D8265B"/>
    <w:rsid w:val="00D874F1"/>
    <w:rsid w:val="00D9146B"/>
    <w:rsid w:val="00D925C7"/>
    <w:rsid w:val="00D940EA"/>
    <w:rsid w:val="00DB28D6"/>
    <w:rsid w:val="00DB3DE2"/>
    <w:rsid w:val="00DB4A2A"/>
    <w:rsid w:val="00DB714E"/>
    <w:rsid w:val="00DC66B1"/>
    <w:rsid w:val="00DC66BC"/>
    <w:rsid w:val="00DD0428"/>
    <w:rsid w:val="00DD750B"/>
    <w:rsid w:val="00DE4420"/>
    <w:rsid w:val="00DE59DF"/>
    <w:rsid w:val="00DF7CD5"/>
    <w:rsid w:val="00E00183"/>
    <w:rsid w:val="00E015D7"/>
    <w:rsid w:val="00E06499"/>
    <w:rsid w:val="00E13BB8"/>
    <w:rsid w:val="00E22A05"/>
    <w:rsid w:val="00E31E47"/>
    <w:rsid w:val="00E42607"/>
    <w:rsid w:val="00E444A4"/>
    <w:rsid w:val="00E55EA7"/>
    <w:rsid w:val="00E637B2"/>
    <w:rsid w:val="00E6766E"/>
    <w:rsid w:val="00E727A3"/>
    <w:rsid w:val="00E735E6"/>
    <w:rsid w:val="00E83CEC"/>
    <w:rsid w:val="00EB131F"/>
    <w:rsid w:val="00EC0A99"/>
    <w:rsid w:val="00EC4816"/>
    <w:rsid w:val="00EC4E17"/>
    <w:rsid w:val="00ED31BE"/>
    <w:rsid w:val="00EF6351"/>
    <w:rsid w:val="00EF74A6"/>
    <w:rsid w:val="00F01D31"/>
    <w:rsid w:val="00F11713"/>
    <w:rsid w:val="00F25C98"/>
    <w:rsid w:val="00F32A57"/>
    <w:rsid w:val="00F32E55"/>
    <w:rsid w:val="00F40755"/>
    <w:rsid w:val="00F439FC"/>
    <w:rsid w:val="00F50813"/>
    <w:rsid w:val="00F66CF3"/>
    <w:rsid w:val="00F677DE"/>
    <w:rsid w:val="00F74890"/>
    <w:rsid w:val="00F82827"/>
    <w:rsid w:val="00F94744"/>
    <w:rsid w:val="00FA4909"/>
    <w:rsid w:val="00FB1089"/>
    <w:rsid w:val="00FB4D36"/>
    <w:rsid w:val="00FB7B01"/>
    <w:rsid w:val="00FC6E6A"/>
    <w:rsid w:val="00FD0E3D"/>
    <w:rsid w:val="00FD2932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150AE-F423-4D67-B272-874559F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205"/>
  </w:style>
  <w:style w:type="paragraph" w:styleId="Zpat">
    <w:name w:val="footer"/>
    <w:basedOn w:val="Normln"/>
    <w:link w:val="ZpatChar"/>
    <w:uiPriority w:val="99"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205"/>
  </w:style>
  <w:style w:type="paragraph" w:styleId="Textbubliny">
    <w:name w:val="Balloon Text"/>
    <w:basedOn w:val="Normln"/>
    <w:link w:val="TextbublinyChar"/>
    <w:uiPriority w:val="99"/>
    <w:semiHidden/>
    <w:unhideWhenUsed/>
    <w:rsid w:val="006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D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1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1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71F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4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4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CC13-2ECE-4A8C-9576-147E809F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user</cp:lastModifiedBy>
  <cp:revision>5</cp:revision>
  <cp:lastPrinted>2016-08-23T09:23:00Z</cp:lastPrinted>
  <dcterms:created xsi:type="dcterms:W3CDTF">2016-08-26T06:27:00Z</dcterms:created>
  <dcterms:modified xsi:type="dcterms:W3CDTF">2016-08-26T06:39:00Z</dcterms:modified>
</cp:coreProperties>
</file>