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E8" w:rsidRPr="000B5363" w:rsidRDefault="00FB1089" w:rsidP="00DD51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B5363">
        <w:rPr>
          <w:rFonts w:ascii="Arial" w:hAnsi="Arial" w:cs="Arial"/>
          <w:b/>
          <w:sz w:val="28"/>
          <w:szCs w:val="28"/>
        </w:rPr>
        <w:t>S</w:t>
      </w:r>
      <w:r w:rsidR="00DD750B" w:rsidRPr="000B5363">
        <w:rPr>
          <w:rFonts w:ascii="Arial" w:hAnsi="Arial" w:cs="Arial"/>
          <w:b/>
          <w:sz w:val="28"/>
          <w:szCs w:val="28"/>
        </w:rPr>
        <w:t>tanovisko Č</w:t>
      </w:r>
      <w:r w:rsidR="0060090C">
        <w:rPr>
          <w:rFonts w:ascii="Arial" w:hAnsi="Arial" w:cs="Arial"/>
          <w:b/>
          <w:sz w:val="28"/>
          <w:szCs w:val="28"/>
        </w:rPr>
        <w:t xml:space="preserve">eského plynárenského svazu </w:t>
      </w:r>
      <w:r w:rsidR="00DD750B" w:rsidRPr="000B5363">
        <w:rPr>
          <w:rFonts w:ascii="Arial" w:hAnsi="Arial" w:cs="Arial"/>
          <w:b/>
          <w:sz w:val="28"/>
          <w:szCs w:val="28"/>
        </w:rPr>
        <w:t xml:space="preserve">k návrhu </w:t>
      </w:r>
      <w:r w:rsidR="003444E8" w:rsidRPr="000B5363">
        <w:rPr>
          <w:rFonts w:ascii="Arial" w:hAnsi="Arial" w:cs="Arial"/>
          <w:b/>
          <w:sz w:val="28"/>
          <w:szCs w:val="28"/>
        </w:rPr>
        <w:t>materiálu</w:t>
      </w:r>
    </w:p>
    <w:p w:rsidR="00FB7B01" w:rsidRPr="000B5363" w:rsidRDefault="0060090C" w:rsidP="00DD51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60090C">
        <w:rPr>
          <w:rFonts w:ascii="Arial" w:hAnsi="Arial" w:cs="Arial"/>
          <w:b/>
          <w:sz w:val="28"/>
          <w:szCs w:val="28"/>
        </w:rPr>
        <w:t>Analýza k možnosti zavedení uhlíkové daně v Č</w:t>
      </w:r>
      <w:r>
        <w:rPr>
          <w:rFonts w:ascii="Arial" w:hAnsi="Arial" w:cs="Arial"/>
          <w:b/>
          <w:sz w:val="28"/>
          <w:szCs w:val="28"/>
        </w:rPr>
        <w:t>R</w:t>
      </w:r>
    </w:p>
    <w:p w:rsidR="00FB1089" w:rsidRPr="000B5363" w:rsidRDefault="00FB1089" w:rsidP="00DD511D">
      <w:pPr>
        <w:spacing w:after="0" w:line="288" w:lineRule="auto"/>
        <w:jc w:val="both"/>
        <w:rPr>
          <w:rFonts w:ascii="Arial" w:hAnsi="Arial" w:cs="Arial"/>
          <w:sz w:val="28"/>
          <w:szCs w:val="28"/>
        </w:rPr>
      </w:pPr>
    </w:p>
    <w:p w:rsidR="00E9133E" w:rsidRDefault="00D874F1" w:rsidP="00CE1395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 xml:space="preserve">Český plynárenský svaz (ČPS) </w:t>
      </w:r>
      <w:r w:rsidR="00134C1F">
        <w:rPr>
          <w:rFonts w:ascii="Arial" w:hAnsi="Arial" w:cs="Arial"/>
          <w:sz w:val="24"/>
          <w:szCs w:val="24"/>
        </w:rPr>
        <w:t>předkládá</w:t>
      </w:r>
      <w:r w:rsidR="0091708E" w:rsidRPr="000B5363">
        <w:rPr>
          <w:rFonts w:ascii="Arial" w:hAnsi="Arial" w:cs="Arial"/>
          <w:sz w:val="24"/>
          <w:szCs w:val="24"/>
        </w:rPr>
        <w:t xml:space="preserve"> stanovisko k návrhu materiálu</w:t>
      </w:r>
      <w:r w:rsidR="00D636E4" w:rsidRPr="000B5363">
        <w:rPr>
          <w:rFonts w:ascii="Arial" w:hAnsi="Arial" w:cs="Arial"/>
          <w:sz w:val="24"/>
          <w:szCs w:val="24"/>
        </w:rPr>
        <w:t xml:space="preserve"> </w:t>
      </w:r>
      <w:r w:rsidR="00434590">
        <w:rPr>
          <w:rFonts w:ascii="Arial" w:hAnsi="Arial" w:cs="Arial"/>
          <w:sz w:val="24"/>
          <w:szCs w:val="24"/>
        </w:rPr>
        <w:t>Analýza k</w:t>
      </w:r>
      <w:r w:rsidR="000F4E1B">
        <w:rPr>
          <w:rFonts w:ascii="Arial" w:hAnsi="Arial" w:cs="Arial"/>
          <w:sz w:val="24"/>
          <w:szCs w:val="24"/>
        </w:rPr>
        <w:t> </w:t>
      </w:r>
      <w:r w:rsidR="00434590" w:rsidRPr="00434590">
        <w:rPr>
          <w:rFonts w:ascii="Arial" w:hAnsi="Arial" w:cs="Arial"/>
          <w:sz w:val="24"/>
          <w:szCs w:val="24"/>
        </w:rPr>
        <w:t>možnosti zavedení uhlíkové daně v</w:t>
      </w:r>
      <w:r w:rsidR="00434590">
        <w:rPr>
          <w:rFonts w:ascii="Arial" w:hAnsi="Arial" w:cs="Arial"/>
          <w:sz w:val="24"/>
          <w:szCs w:val="24"/>
        </w:rPr>
        <w:t> </w:t>
      </w:r>
      <w:r w:rsidR="00434590" w:rsidRPr="00434590">
        <w:rPr>
          <w:rFonts w:ascii="Arial" w:hAnsi="Arial" w:cs="Arial"/>
          <w:sz w:val="24"/>
          <w:szCs w:val="24"/>
        </w:rPr>
        <w:t>ČR</w:t>
      </w:r>
      <w:r w:rsidR="00434590">
        <w:rPr>
          <w:rFonts w:ascii="Arial" w:hAnsi="Arial" w:cs="Arial"/>
          <w:sz w:val="24"/>
          <w:szCs w:val="24"/>
        </w:rPr>
        <w:t xml:space="preserve"> </w:t>
      </w:r>
      <w:r w:rsidR="00D636E4" w:rsidRPr="000B5363">
        <w:rPr>
          <w:rFonts w:ascii="Arial" w:hAnsi="Arial" w:cs="Arial"/>
          <w:sz w:val="24"/>
          <w:szCs w:val="24"/>
        </w:rPr>
        <w:t>jako sdružení</w:t>
      </w:r>
      <w:r w:rsidR="0060090C">
        <w:rPr>
          <w:rFonts w:ascii="Arial" w:hAnsi="Arial" w:cs="Arial"/>
          <w:sz w:val="24"/>
          <w:szCs w:val="24"/>
        </w:rPr>
        <w:t xml:space="preserve"> hájící</w:t>
      </w:r>
      <w:r w:rsidR="00D636E4" w:rsidRPr="000B5363">
        <w:rPr>
          <w:rFonts w:ascii="Arial" w:hAnsi="Arial" w:cs="Arial"/>
          <w:sz w:val="24"/>
          <w:szCs w:val="24"/>
        </w:rPr>
        <w:t xml:space="preserve"> </w:t>
      </w:r>
      <w:r w:rsidR="00BE425B" w:rsidRPr="000B5363">
        <w:rPr>
          <w:rFonts w:ascii="Arial" w:hAnsi="Arial" w:cs="Arial"/>
          <w:sz w:val="24"/>
          <w:szCs w:val="24"/>
        </w:rPr>
        <w:t xml:space="preserve">zájmy svých členů, </w:t>
      </w:r>
      <w:r w:rsidR="00D636E4" w:rsidRPr="000B5363">
        <w:rPr>
          <w:rFonts w:ascii="Arial" w:hAnsi="Arial" w:cs="Arial"/>
          <w:sz w:val="24"/>
          <w:szCs w:val="24"/>
        </w:rPr>
        <w:t>právnick</w:t>
      </w:r>
      <w:r w:rsidR="00BE425B" w:rsidRPr="000B5363">
        <w:rPr>
          <w:rFonts w:ascii="Arial" w:hAnsi="Arial" w:cs="Arial"/>
          <w:sz w:val="24"/>
          <w:szCs w:val="24"/>
        </w:rPr>
        <w:t xml:space="preserve">ých a </w:t>
      </w:r>
      <w:r w:rsidR="00D636E4" w:rsidRPr="000B5363">
        <w:rPr>
          <w:rFonts w:ascii="Arial" w:hAnsi="Arial" w:cs="Arial"/>
          <w:sz w:val="24"/>
          <w:szCs w:val="24"/>
        </w:rPr>
        <w:t>fyzick</w:t>
      </w:r>
      <w:r w:rsidR="00BE425B" w:rsidRPr="000B5363">
        <w:rPr>
          <w:rFonts w:ascii="Arial" w:hAnsi="Arial" w:cs="Arial"/>
          <w:sz w:val="24"/>
          <w:szCs w:val="24"/>
        </w:rPr>
        <w:t xml:space="preserve">ých </w:t>
      </w:r>
      <w:r w:rsidR="00D636E4" w:rsidRPr="000B5363">
        <w:rPr>
          <w:rFonts w:ascii="Arial" w:hAnsi="Arial" w:cs="Arial"/>
          <w:sz w:val="24"/>
          <w:szCs w:val="24"/>
        </w:rPr>
        <w:t xml:space="preserve">osob, </w:t>
      </w:r>
      <w:r w:rsidR="00BE425B" w:rsidRPr="000B5363">
        <w:rPr>
          <w:rFonts w:ascii="Arial" w:hAnsi="Arial" w:cs="Arial"/>
          <w:sz w:val="24"/>
          <w:szCs w:val="24"/>
        </w:rPr>
        <w:t>jejichž aktivity souv</w:t>
      </w:r>
      <w:r w:rsidR="0060090C">
        <w:rPr>
          <w:rFonts w:ascii="Arial" w:hAnsi="Arial" w:cs="Arial"/>
          <w:sz w:val="24"/>
          <w:szCs w:val="24"/>
        </w:rPr>
        <w:t>isí</w:t>
      </w:r>
      <w:r w:rsidR="00BE425B" w:rsidRPr="000B5363">
        <w:rPr>
          <w:rFonts w:ascii="Arial" w:hAnsi="Arial" w:cs="Arial"/>
          <w:sz w:val="24"/>
          <w:szCs w:val="24"/>
        </w:rPr>
        <w:t xml:space="preserve"> s</w:t>
      </w:r>
      <w:r w:rsidR="00D636E4" w:rsidRPr="000B5363">
        <w:rPr>
          <w:rFonts w:ascii="Arial" w:hAnsi="Arial" w:cs="Arial"/>
          <w:sz w:val="24"/>
          <w:szCs w:val="24"/>
        </w:rPr>
        <w:t> plynárensk</w:t>
      </w:r>
      <w:r w:rsidR="00BE425B" w:rsidRPr="000B5363">
        <w:rPr>
          <w:rFonts w:ascii="Arial" w:hAnsi="Arial" w:cs="Arial"/>
          <w:sz w:val="24"/>
          <w:szCs w:val="24"/>
        </w:rPr>
        <w:t>ým</w:t>
      </w:r>
      <w:r w:rsidR="00D636E4" w:rsidRPr="000B5363">
        <w:rPr>
          <w:rFonts w:ascii="Arial" w:hAnsi="Arial" w:cs="Arial"/>
          <w:sz w:val="24"/>
          <w:szCs w:val="24"/>
        </w:rPr>
        <w:t xml:space="preserve"> odvětví</w:t>
      </w:r>
      <w:r w:rsidR="00BE425B" w:rsidRPr="000B5363">
        <w:rPr>
          <w:rFonts w:ascii="Arial" w:hAnsi="Arial" w:cs="Arial"/>
          <w:sz w:val="24"/>
          <w:szCs w:val="24"/>
        </w:rPr>
        <w:t>m</w:t>
      </w:r>
      <w:r w:rsidR="00A23AD2">
        <w:rPr>
          <w:rFonts w:ascii="Arial" w:hAnsi="Arial" w:cs="Arial"/>
          <w:sz w:val="24"/>
          <w:szCs w:val="24"/>
        </w:rPr>
        <w:t xml:space="preserve"> v ČR:</w:t>
      </w:r>
    </w:p>
    <w:p w:rsidR="00E9133E" w:rsidRPr="001677B5" w:rsidRDefault="001677B5" w:rsidP="00DD511D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="00117D55">
        <w:rPr>
          <w:rFonts w:ascii="Arial" w:hAnsi="Arial" w:cs="Arial"/>
          <w:b/>
          <w:sz w:val="24"/>
          <w:szCs w:val="24"/>
        </w:rPr>
        <w:t>Materiál byl z</w:t>
      </w:r>
      <w:r w:rsidR="00621567" w:rsidRPr="00134C1F">
        <w:rPr>
          <w:rFonts w:ascii="Arial" w:hAnsi="Arial" w:cs="Arial"/>
          <w:b/>
          <w:sz w:val="24"/>
          <w:szCs w:val="24"/>
        </w:rPr>
        <w:t xml:space="preserve">pracován v rozporu se </w:t>
      </w:r>
      <w:r w:rsidR="00E9133E" w:rsidRPr="00134C1F">
        <w:rPr>
          <w:rFonts w:ascii="Arial" w:hAnsi="Arial" w:cs="Arial"/>
          <w:b/>
          <w:sz w:val="24"/>
          <w:szCs w:val="24"/>
        </w:rPr>
        <w:t>zadání</w:t>
      </w:r>
      <w:r w:rsidR="00621567" w:rsidRPr="00134C1F">
        <w:rPr>
          <w:rFonts w:ascii="Arial" w:hAnsi="Arial" w:cs="Arial"/>
          <w:b/>
          <w:sz w:val="24"/>
          <w:szCs w:val="24"/>
        </w:rPr>
        <w:t>m</w:t>
      </w:r>
      <w:r w:rsidR="00E9133E" w:rsidRPr="00134C1F">
        <w:rPr>
          <w:rFonts w:ascii="Arial" w:hAnsi="Arial" w:cs="Arial"/>
          <w:b/>
          <w:sz w:val="24"/>
          <w:szCs w:val="24"/>
        </w:rPr>
        <w:t xml:space="preserve"> vlády</w:t>
      </w:r>
      <w:r w:rsidR="00621567">
        <w:rPr>
          <w:rFonts w:ascii="Arial" w:hAnsi="Arial" w:cs="Arial"/>
          <w:sz w:val="24"/>
          <w:szCs w:val="24"/>
        </w:rPr>
        <w:t>,</w:t>
      </w:r>
      <w:r w:rsidR="00E9133E" w:rsidRPr="001677B5">
        <w:rPr>
          <w:rFonts w:ascii="Arial" w:hAnsi="Arial" w:cs="Arial"/>
          <w:sz w:val="24"/>
          <w:szCs w:val="24"/>
        </w:rPr>
        <w:t xml:space="preserve"> vyjádřeném v usnesení vlády č. 978 ze dne 2.</w:t>
      </w:r>
      <w:r w:rsidR="001F67F8" w:rsidRPr="001677B5">
        <w:rPr>
          <w:rFonts w:ascii="Arial" w:hAnsi="Arial" w:cs="Arial"/>
          <w:sz w:val="24"/>
          <w:szCs w:val="24"/>
        </w:rPr>
        <w:t> </w:t>
      </w:r>
      <w:r w:rsidR="00E9133E" w:rsidRPr="001677B5">
        <w:rPr>
          <w:rFonts w:ascii="Arial" w:hAnsi="Arial" w:cs="Arial"/>
          <w:sz w:val="24"/>
          <w:szCs w:val="24"/>
        </w:rPr>
        <w:t>12.</w:t>
      </w:r>
      <w:r w:rsidR="001F67F8" w:rsidRPr="001677B5">
        <w:rPr>
          <w:rFonts w:ascii="Arial" w:hAnsi="Arial" w:cs="Arial"/>
          <w:sz w:val="24"/>
          <w:szCs w:val="24"/>
        </w:rPr>
        <w:t> </w:t>
      </w:r>
      <w:r w:rsidR="00E9133E" w:rsidRPr="001677B5">
        <w:rPr>
          <w:rFonts w:ascii="Arial" w:hAnsi="Arial" w:cs="Arial"/>
          <w:sz w:val="24"/>
          <w:szCs w:val="24"/>
        </w:rPr>
        <w:t>2015</w:t>
      </w:r>
      <w:r w:rsidR="00D1414F" w:rsidRPr="001677B5">
        <w:rPr>
          <w:rFonts w:ascii="Arial" w:hAnsi="Arial" w:cs="Arial"/>
          <w:sz w:val="24"/>
          <w:szCs w:val="24"/>
        </w:rPr>
        <w:t xml:space="preserve">, </w:t>
      </w:r>
      <w:r w:rsidR="00E9133E" w:rsidRPr="001677B5">
        <w:rPr>
          <w:rFonts w:ascii="Arial" w:hAnsi="Arial" w:cs="Arial"/>
          <w:sz w:val="24"/>
          <w:szCs w:val="24"/>
        </w:rPr>
        <w:t>kter</w:t>
      </w:r>
      <w:r w:rsidR="00746555" w:rsidRPr="001677B5">
        <w:rPr>
          <w:rFonts w:ascii="Arial" w:hAnsi="Arial" w:cs="Arial"/>
          <w:sz w:val="24"/>
          <w:szCs w:val="24"/>
        </w:rPr>
        <w:t xml:space="preserve">ým byl stanoven </w:t>
      </w:r>
      <w:r w:rsidR="00D1414F" w:rsidRPr="001677B5">
        <w:rPr>
          <w:rFonts w:ascii="Arial" w:hAnsi="Arial" w:cs="Arial"/>
          <w:sz w:val="24"/>
          <w:szCs w:val="24"/>
        </w:rPr>
        <w:t>úkol</w:t>
      </w:r>
      <w:r w:rsidR="00746555" w:rsidRPr="001677B5">
        <w:rPr>
          <w:rFonts w:ascii="Arial" w:hAnsi="Arial" w:cs="Arial"/>
          <w:sz w:val="24"/>
          <w:szCs w:val="24"/>
        </w:rPr>
        <w:t xml:space="preserve"> </w:t>
      </w:r>
      <w:r w:rsidR="00E9133E" w:rsidRPr="001677B5">
        <w:rPr>
          <w:rFonts w:ascii="Arial" w:hAnsi="Arial" w:cs="Arial"/>
          <w:sz w:val="24"/>
          <w:szCs w:val="24"/>
        </w:rPr>
        <w:t>vytvoř</w:t>
      </w:r>
      <w:r w:rsidR="00746555" w:rsidRPr="001677B5">
        <w:rPr>
          <w:rFonts w:ascii="Arial" w:hAnsi="Arial" w:cs="Arial"/>
          <w:sz w:val="24"/>
          <w:szCs w:val="24"/>
        </w:rPr>
        <w:t xml:space="preserve">it </w:t>
      </w:r>
      <w:r w:rsidR="00E9133E" w:rsidRPr="001677B5">
        <w:rPr>
          <w:rFonts w:ascii="Arial" w:hAnsi="Arial" w:cs="Arial"/>
          <w:sz w:val="24"/>
          <w:szCs w:val="24"/>
        </w:rPr>
        <w:t>podmín</w:t>
      </w:r>
      <w:r w:rsidR="00746555" w:rsidRPr="001677B5">
        <w:rPr>
          <w:rFonts w:ascii="Arial" w:hAnsi="Arial" w:cs="Arial"/>
          <w:sz w:val="24"/>
          <w:szCs w:val="24"/>
        </w:rPr>
        <w:t>ky</w:t>
      </w:r>
      <w:r w:rsidR="00E9133E" w:rsidRPr="001677B5">
        <w:rPr>
          <w:rFonts w:ascii="Arial" w:hAnsi="Arial" w:cs="Arial"/>
          <w:sz w:val="24"/>
          <w:szCs w:val="24"/>
        </w:rPr>
        <w:t xml:space="preserve"> pro </w:t>
      </w:r>
      <w:r w:rsidR="00E9133E" w:rsidRPr="001677B5">
        <w:rPr>
          <w:rFonts w:ascii="Arial" w:hAnsi="Arial" w:cs="Arial"/>
          <w:b/>
          <w:sz w:val="24"/>
          <w:szCs w:val="24"/>
        </w:rPr>
        <w:t>snížení podílu</w:t>
      </w:r>
      <w:r w:rsidR="00E9133E" w:rsidRPr="001677B5">
        <w:rPr>
          <w:rFonts w:ascii="Arial" w:hAnsi="Arial" w:cs="Arial"/>
          <w:sz w:val="24"/>
          <w:szCs w:val="24"/>
        </w:rPr>
        <w:t xml:space="preserve"> </w:t>
      </w:r>
      <w:r w:rsidR="00E9133E" w:rsidRPr="0083302A">
        <w:rPr>
          <w:rFonts w:ascii="Arial" w:hAnsi="Arial" w:cs="Arial"/>
          <w:b/>
          <w:sz w:val="24"/>
          <w:szCs w:val="24"/>
        </w:rPr>
        <w:t>pevných</w:t>
      </w:r>
      <w:r w:rsidR="00E9133E" w:rsidRPr="001677B5">
        <w:rPr>
          <w:rFonts w:ascii="Arial" w:hAnsi="Arial" w:cs="Arial"/>
          <w:b/>
          <w:sz w:val="24"/>
          <w:szCs w:val="24"/>
        </w:rPr>
        <w:t xml:space="preserve"> fosilních paliv</w:t>
      </w:r>
      <w:r w:rsidR="00E9133E" w:rsidRPr="001677B5">
        <w:rPr>
          <w:rFonts w:ascii="Arial" w:hAnsi="Arial" w:cs="Arial"/>
          <w:sz w:val="24"/>
          <w:szCs w:val="24"/>
        </w:rPr>
        <w:t xml:space="preserve"> ve spalovacích stacionárních zdrojích nespadajících pod systém EU ETS</w:t>
      </w:r>
      <w:r w:rsidR="00746555" w:rsidRPr="001677B5">
        <w:rPr>
          <w:rFonts w:ascii="Arial" w:hAnsi="Arial" w:cs="Arial"/>
          <w:sz w:val="24"/>
          <w:szCs w:val="24"/>
        </w:rPr>
        <w:t>.</w:t>
      </w:r>
    </w:p>
    <w:p w:rsidR="00D1414F" w:rsidRPr="00BD4DEF" w:rsidRDefault="001677B5" w:rsidP="00DD511D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="00117D55" w:rsidRPr="00117D55">
        <w:rPr>
          <w:rFonts w:ascii="Arial" w:hAnsi="Arial" w:cs="Arial"/>
          <w:b/>
          <w:sz w:val="24"/>
          <w:szCs w:val="24"/>
        </w:rPr>
        <w:t>Materiál ne</w:t>
      </w:r>
      <w:r w:rsidR="001E5A97">
        <w:rPr>
          <w:rFonts w:ascii="Arial" w:hAnsi="Arial" w:cs="Arial"/>
          <w:b/>
          <w:sz w:val="24"/>
          <w:szCs w:val="24"/>
        </w:rPr>
        <w:t>plní</w:t>
      </w:r>
      <w:r w:rsidR="00117D55" w:rsidRPr="00117D55">
        <w:rPr>
          <w:rFonts w:ascii="Arial" w:hAnsi="Arial" w:cs="Arial"/>
          <w:b/>
          <w:sz w:val="24"/>
          <w:szCs w:val="24"/>
        </w:rPr>
        <w:t xml:space="preserve"> </w:t>
      </w:r>
      <w:r w:rsidR="00134C1F" w:rsidRPr="00117D55">
        <w:rPr>
          <w:rFonts w:ascii="Arial" w:hAnsi="Arial" w:cs="Arial"/>
          <w:b/>
          <w:sz w:val="24"/>
          <w:szCs w:val="24"/>
        </w:rPr>
        <w:t xml:space="preserve">cíle </w:t>
      </w:r>
      <w:r w:rsidR="00117D55" w:rsidRPr="00117D55">
        <w:rPr>
          <w:rFonts w:ascii="Arial" w:hAnsi="Arial" w:cs="Arial"/>
          <w:b/>
          <w:sz w:val="24"/>
          <w:szCs w:val="24"/>
        </w:rPr>
        <w:t xml:space="preserve">stanovené </w:t>
      </w:r>
      <w:r w:rsidR="00E9133E" w:rsidRPr="00117D55">
        <w:rPr>
          <w:rFonts w:ascii="Arial" w:hAnsi="Arial" w:cs="Arial"/>
          <w:b/>
          <w:sz w:val="24"/>
          <w:szCs w:val="24"/>
        </w:rPr>
        <w:t>v </w:t>
      </w:r>
      <w:r w:rsidR="00B21DAF" w:rsidRPr="00117D55">
        <w:rPr>
          <w:rFonts w:ascii="Arial" w:hAnsi="Arial" w:cs="Arial"/>
          <w:b/>
          <w:sz w:val="24"/>
          <w:szCs w:val="24"/>
        </w:rPr>
        <w:t>k</w:t>
      </w:r>
      <w:r w:rsidR="00E9133E" w:rsidRPr="00117D55">
        <w:rPr>
          <w:rFonts w:ascii="Arial" w:hAnsi="Arial" w:cs="Arial"/>
          <w:b/>
          <w:sz w:val="24"/>
          <w:szCs w:val="24"/>
        </w:rPr>
        <w:t xml:space="preserve">oncepčních </w:t>
      </w:r>
      <w:r w:rsidR="00D1414F" w:rsidRPr="00117D55">
        <w:rPr>
          <w:rFonts w:ascii="Arial" w:hAnsi="Arial" w:cs="Arial"/>
          <w:b/>
          <w:sz w:val="24"/>
          <w:szCs w:val="24"/>
        </w:rPr>
        <w:t xml:space="preserve">vládních </w:t>
      </w:r>
      <w:r w:rsidR="00B21DAF" w:rsidRPr="00117D55">
        <w:rPr>
          <w:rFonts w:ascii="Arial" w:hAnsi="Arial" w:cs="Arial"/>
          <w:b/>
          <w:sz w:val="24"/>
          <w:szCs w:val="24"/>
        </w:rPr>
        <w:t>dokumentech</w:t>
      </w:r>
      <w:r w:rsidR="00B21DAF" w:rsidRPr="001677B5">
        <w:rPr>
          <w:rFonts w:ascii="Arial" w:hAnsi="Arial" w:cs="Arial"/>
          <w:sz w:val="24"/>
          <w:szCs w:val="24"/>
        </w:rPr>
        <w:t xml:space="preserve">, jakými jsou </w:t>
      </w:r>
      <w:r w:rsidR="00E9133E" w:rsidRPr="001677B5">
        <w:rPr>
          <w:rFonts w:ascii="Arial" w:hAnsi="Arial" w:cs="Arial"/>
          <w:sz w:val="24"/>
          <w:szCs w:val="24"/>
        </w:rPr>
        <w:t>Národní program</w:t>
      </w:r>
      <w:r w:rsidR="00D1414F" w:rsidRPr="001677B5">
        <w:rPr>
          <w:rFonts w:ascii="Arial" w:hAnsi="Arial" w:cs="Arial"/>
          <w:sz w:val="24"/>
          <w:szCs w:val="24"/>
        </w:rPr>
        <w:t xml:space="preserve"> snižování emisí</w:t>
      </w:r>
      <w:r w:rsidR="00746555" w:rsidRPr="001677B5">
        <w:rPr>
          <w:rFonts w:ascii="Arial" w:hAnsi="Arial" w:cs="Arial"/>
          <w:sz w:val="24"/>
          <w:szCs w:val="24"/>
        </w:rPr>
        <w:t xml:space="preserve"> či</w:t>
      </w:r>
      <w:r w:rsidR="00D1414F" w:rsidRPr="001677B5">
        <w:rPr>
          <w:rFonts w:ascii="Arial" w:hAnsi="Arial" w:cs="Arial"/>
          <w:sz w:val="24"/>
          <w:szCs w:val="24"/>
        </w:rPr>
        <w:t xml:space="preserve"> Státní energetick</w:t>
      </w:r>
      <w:r w:rsidR="00B21DAF" w:rsidRPr="001677B5">
        <w:rPr>
          <w:rFonts w:ascii="Arial" w:hAnsi="Arial" w:cs="Arial"/>
          <w:sz w:val="24"/>
          <w:szCs w:val="24"/>
        </w:rPr>
        <w:t>á</w:t>
      </w:r>
      <w:r w:rsidR="00D1414F" w:rsidRPr="001677B5">
        <w:rPr>
          <w:rFonts w:ascii="Arial" w:hAnsi="Arial" w:cs="Arial"/>
          <w:sz w:val="24"/>
          <w:szCs w:val="24"/>
        </w:rPr>
        <w:t xml:space="preserve"> koncepc</w:t>
      </w:r>
      <w:r w:rsidR="00B21DAF" w:rsidRPr="001677B5">
        <w:rPr>
          <w:rFonts w:ascii="Arial" w:hAnsi="Arial" w:cs="Arial"/>
          <w:sz w:val="24"/>
          <w:szCs w:val="24"/>
        </w:rPr>
        <w:t>e</w:t>
      </w:r>
      <w:r w:rsidR="00D1414F" w:rsidRPr="001677B5">
        <w:rPr>
          <w:rFonts w:ascii="Arial" w:hAnsi="Arial" w:cs="Arial"/>
          <w:sz w:val="24"/>
          <w:szCs w:val="24"/>
        </w:rPr>
        <w:t xml:space="preserve">, </w:t>
      </w:r>
      <w:r w:rsidR="0084671C">
        <w:rPr>
          <w:rFonts w:ascii="Arial" w:hAnsi="Arial" w:cs="Arial"/>
          <w:sz w:val="24"/>
          <w:szCs w:val="24"/>
        </w:rPr>
        <w:t>kterými má prioritně být, prostřednictví</w:t>
      </w:r>
      <w:r w:rsidR="00746555" w:rsidRPr="001677B5">
        <w:rPr>
          <w:rFonts w:ascii="Arial" w:hAnsi="Arial" w:cs="Arial"/>
          <w:sz w:val="24"/>
          <w:szCs w:val="24"/>
        </w:rPr>
        <w:t xml:space="preserve"> </w:t>
      </w:r>
      <w:r w:rsidR="00D1414F" w:rsidRPr="001677B5">
        <w:rPr>
          <w:rFonts w:ascii="Arial" w:hAnsi="Arial" w:cs="Arial"/>
          <w:sz w:val="24"/>
          <w:szCs w:val="24"/>
        </w:rPr>
        <w:t xml:space="preserve">nalezení optimálního nastavení zdanění, </w:t>
      </w:r>
      <w:r w:rsidR="00D1414F" w:rsidRPr="00117D55">
        <w:rPr>
          <w:rFonts w:ascii="Arial" w:hAnsi="Arial" w:cs="Arial"/>
          <w:b/>
          <w:sz w:val="24"/>
          <w:szCs w:val="24"/>
        </w:rPr>
        <w:t>maximální eliminac</w:t>
      </w:r>
      <w:r w:rsidR="00C97EFF">
        <w:rPr>
          <w:rFonts w:ascii="Arial" w:hAnsi="Arial" w:cs="Arial"/>
          <w:b/>
          <w:sz w:val="24"/>
          <w:szCs w:val="24"/>
        </w:rPr>
        <w:t>e</w:t>
      </w:r>
      <w:r w:rsidR="00D1414F" w:rsidRPr="001677B5">
        <w:rPr>
          <w:rFonts w:ascii="Arial" w:hAnsi="Arial" w:cs="Arial"/>
          <w:b/>
          <w:sz w:val="24"/>
          <w:szCs w:val="24"/>
        </w:rPr>
        <w:t xml:space="preserve"> </w:t>
      </w:r>
      <w:r w:rsidR="00D1414F" w:rsidRPr="0083302A">
        <w:rPr>
          <w:rFonts w:ascii="Arial" w:hAnsi="Arial" w:cs="Arial"/>
          <w:b/>
          <w:sz w:val="24"/>
          <w:szCs w:val="24"/>
        </w:rPr>
        <w:t>emisí mající</w:t>
      </w:r>
      <w:r w:rsidR="00746555" w:rsidRPr="0083302A">
        <w:rPr>
          <w:rFonts w:ascii="Arial" w:hAnsi="Arial" w:cs="Arial"/>
          <w:b/>
          <w:sz w:val="24"/>
          <w:szCs w:val="24"/>
        </w:rPr>
        <w:t>ch</w:t>
      </w:r>
      <w:r w:rsidR="00D1414F" w:rsidRPr="0083302A">
        <w:rPr>
          <w:rFonts w:ascii="Arial" w:hAnsi="Arial" w:cs="Arial"/>
          <w:b/>
          <w:sz w:val="24"/>
          <w:szCs w:val="24"/>
        </w:rPr>
        <w:t xml:space="preserve"> výrazné negativní dopady na lidské zdraví, ekosystémy a</w:t>
      </w:r>
      <w:r w:rsidR="0084671C">
        <w:rPr>
          <w:rFonts w:ascii="Arial" w:hAnsi="Arial" w:cs="Arial"/>
          <w:b/>
          <w:sz w:val="24"/>
          <w:szCs w:val="24"/>
        </w:rPr>
        <w:t> </w:t>
      </w:r>
      <w:r w:rsidR="00D1414F" w:rsidRPr="0083302A">
        <w:rPr>
          <w:rFonts w:ascii="Arial" w:hAnsi="Arial" w:cs="Arial"/>
          <w:b/>
          <w:sz w:val="24"/>
          <w:szCs w:val="24"/>
        </w:rPr>
        <w:t>vegetaci</w:t>
      </w:r>
      <w:r w:rsidR="00D62177" w:rsidRPr="0083302A">
        <w:rPr>
          <w:rFonts w:ascii="Arial" w:hAnsi="Arial" w:cs="Arial"/>
          <w:b/>
          <w:sz w:val="24"/>
          <w:szCs w:val="24"/>
        </w:rPr>
        <w:t>,</w:t>
      </w:r>
      <w:r w:rsidR="00D1414F" w:rsidRPr="0083302A">
        <w:rPr>
          <w:rFonts w:ascii="Arial" w:hAnsi="Arial" w:cs="Arial"/>
          <w:b/>
          <w:sz w:val="24"/>
          <w:szCs w:val="24"/>
        </w:rPr>
        <w:t xml:space="preserve"> </w:t>
      </w:r>
      <w:r w:rsidR="00D62177" w:rsidRPr="00C52A8F">
        <w:rPr>
          <w:rFonts w:ascii="Arial" w:hAnsi="Arial" w:cs="Arial"/>
          <w:sz w:val="24"/>
          <w:szCs w:val="24"/>
        </w:rPr>
        <w:t>tj.</w:t>
      </w:r>
      <w:r w:rsidR="00D1414F" w:rsidRPr="00C52A8F">
        <w:rPr>
          <w:rFonts w:ascii="Arial" w:hAnsi="Arial" w:cs="Arial"/>
          <w:sz w:val="24"/>
          <w:szCs w:val="24"/>
        </w:rPr>
        <w:t xml:space="preserve"> emisí NO</w:t>
      </w:r>
      <w:r w:rsidR="00D1414F" w:rsidRPr="00C52A8F">
        <w:rPr>
          <w:rFonts w:ascii="Arial" w:hAnsi="Arial" w:cs="Arial"/>
          <w:sz w:val="24"/>
          <w:szCs w:val="24"/>
          <w:vertAlign w:val="subscript"/>
        </w:rPr>
        <w:t>X</w:t>
      </w:r>
      <w:r w:rsidR="00D1414F" w:rsidRPr="00C52A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414F" w:rsidRPr="00C52A8F">
        <w:rPr>
          <w:rFonts w:ascii="Arial" w:hAnsi="Arial" w:cs="Arial"/>
          <w:sz w:val="24"/>
          <w:szCs w:val="24"/>
        </w:rPr>
        <w:t>VOC</w:t>
      </w:r>
      <w:proofErr w:type="spellEnd"/>
      <w:r w:rsidR="00D1414F" w:rsidRPr="00C52A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414F" w:rsidRPr="00C52A8F">
        <w:rPr>
          <w:rFonts w:ascii="Arial" w:hAnsi="Arial" w:cs="Arial"/>
          <w:sz w:val="24"/>
          <w:szCs w:val="24"/>
        </w:rPr>
        <w:t>PM</w:t>
      </w:r>
      <w:r w:rsidR="00D1414F" w:rsidRPr="00C52A8F">
        <w:rPr>
          <w:rFonts w:ascii="Arial" w:hAnsi="Arial" w:cs="Arial"/>
          <w:sz w:val="24"/>
          <w:szCs w:val="24"/>
          <w:vertAlign w:val="subscript"/>
        </w:rPr>
        <w:t>10</w:t>
      </w:r>
      <w:proofErr w:type="spellEnd"/>
      <w:r w:rsidR="00D1414F" w:rsidRPr="00C52A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414F" w:rsidRPr="00C52A8F">
        <w:rPr>
          <w:rFonts w:ascii="Arial" w:hAnsi="Arial" w:cs="Arial"/>
          <w:sz w:val="24"/>
          <w:szCs w:val="24"/>
        </w:rPr>
        <w:t>PM</w:t>
      </w:r>
      <w:r w:rsidR="00D1414F" w:rsidRPr="00C52A8F">
        <w:rPr>
          <w:rFonts w:ascii="Arial" w:hAnsi="Arial" w:cs="Arial"/>
          <w:sz w:val="24"/>
          <w:szCs w:val="24"/>
          <w:vertAlign w:val="subscript"/>
        </w:rPr>
        <w:t>2.5</w:t>
      </w:r>
      <w:proofErr w:type="spellEnd"/>
      <w:r w:rsidR="00D1414F" w:rsidRPr="00C52A8F">
        <w:rPr>
          <w:rFonts w:ascii="Arial" w:hAnsi="Arial" w:cs="Arial"/>
          <w:sz w:val="24"/>
          <w:szCs w:val="24"/>
        </w:rPr>
        <w:t xml:space="preserve"> a </w:t>
      </w:r>
      <w:proofErr w:type="spellStart"/>
      <w:proofErr w:type="gramStart"/>
      <w:r w:rsidR="00D1414F" w:rsidRPr="00C52A8F">
        <w:rPr>
          <w:rFonts w:ascii="Arial" w:hAnsi="Arial" w:cs="Arial"/>
          <w:sz w:val="24"/>
          <w:szCs w:val="24"/>
        </w:rPr>
        <w:t>benzo</w:t>
      </w:r>
      <w:proofErr w:type="spellEnd"/>
      <w:r w:rsidR="00D1414F" w:rsidRPr="00C52A8F">
        <w:rPr>
          <w:rFonts w:ascii="Arial" w:hAnsi="Arial" w:cs="Arial"/>
          <w:sz w:val="24"/>
          <w:szCs w:val="24"/>
        </w:rPr>
        <w:t>(a)</w:t>
      </w:r>
      <w:proofErr w:type="spellStart"/>
      <w:r w:rsidR="00D1414F" w:rsidRPr="00C52A8F">
        <w:rPr>
          <w:rFonts w:ascii="Arial" w:hAnsi="Arial" w:cs="Arial"/>
          <w:sz w:val="24"/>
          <w:szCs w:val="24"/>
        </w:rPr>
        <w:t>pyrenu</w:t>
      </w:r>
      <w:proofErr w:type="spellEnd"/>
      <w:proofErr w:type="gramEnd"/>
      <w:r w:rsidR="00D1414F" w:rsidRPr="00C52A8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1414F" w:rsidRPr="00C52A8F">
        <w:rPr>
          <w:rFonts w:ascii="Arial" w:hAnsi="Arial" w:cs="Arial"/>
          <w:sz w:val="24"/>
          <w:szCs w:val="24"/>
        </w:rPr>
        <w:t>BaP</w:t>
      </w:r>
      <w:proofErr w:type="spellEnd"/>
      <w:r w:rsidR="00D1414F" w:rsidRPr="00C52A8F">
        <w:rPr>
          <w:rFonts w:ascii="Arial" w:hAnsi="Arial" w:cs="Arial"/>
          <w:sz w:val="24"/>
          <w:szCs w:val="24"/>
        </w:rPr>
        <w:t>) (vznikajících převážně spalováním pevných paliv)</w:t>
      </w:r>
      <w:r w:rsidR="00D62177" w:rsidRPr="00C52A8F">
        <w:rPr>
          <w:rFonts w:ascii="Arial" w:hAnsi="Arial" w:cs="Arial"/>
          <w:sz w:val="24"/>
          <w:szCs w:val="24"/>
        </w:rPr>
        <w:t>,</w:t>
      </w:r>
      <w:r w:rsidR="00D62177" w:rsidRPr="001677B5">
        <w:rPr>
          <w:rFonts w:ascii="Arial" w:hAnsi="Arial" w:cs="Arial"/>
          <w:b/>
          <w:sz w:val="24"/>
          <w:szCs w:val="24"/>
        </w:rPr>
        <w:t xml:space="preserve"> nikoliv </w:t>
      </w:r>
      <w:r w:rsidR="0028509D">
        <w:rPr>
          <w:rFonts w:ascii="Arial" w:hAnsi="Arial" w:cs="Arial"/>
          <w:b/>
          <w:sz w:val="24"/>
          <w:szCs w:val="24"/>
        </w:rPr>
        <w:t xml:space="preserve">pouze </w:t>
      </w:r>
      <w:r w:rsidR="00D62177" w:rsidRPr="001677B5">
        <w:rPr>
          <w:rFonts w:ascii="Arial" w:hAnsi="Arial" w:cs="Arial"/>
          <w:b/>
          <w:sz w:val="24"/>
          <w:szCs w:val="24"/>
        </w:rPr>
        <w:t>snižování koncentrace emisí skleníkových plynů</w:t>
      </w:r>
      <w:r w:rsidR="00D1414F" w:rsidRPr="001677B5">
        <w:rPr>
          <w:rFonts w:ascii="Arial" w:hAnsi="Arial" w:cs="Arial"/>
          <w:sz w:val="24"/>
          <w:szCs w:val="24"/>
        </w:rPr>
        <w:t>.</w:t>
      </w:r>
    </w:p>
    <w:p w:rsidR="00A23AD2" w:rsidRDefault="001677B5" w:rsidP="00DD511D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</w:r>
      <w:r w:rsidR="001E5A97" w:rsidRPr="003F5C50">
        <w:rPr>
          <w:rFonts w:ascii="Arial" w:hAnsi="Arial" w:cs="Arial"/>
          <w:b/>
          <w:sz w:val="24"/>
          <w:szCs w:val="24"/>
        </w:rPr>
        <w:t xml:space="preserve">Materiál </w:t>
      </w:r>
      <w:r w:rsidR="00430715">
        <w:rPr>
          <w:rFonts w:ascii="Arial" w:hAnsi="Arial" w:cs="Arial"/>
          <w:b/>
          <w:sz w:val="24"/>
          <w:szCs w:val="24"/>
        </w:rPr>
        <w:t xml:space="preserve">je chybně založen </w:t>
      </w:r>
      <w:r w:rsidR="001E5A97" w:rsidRPr="003F5C50">
        <w:rPr>
          <w:rFonts w:ascii="Arial" w:hAnsi="Arial" w:cs="Arial"/>
          <w:b/>
          <w:sz w:val="24"/>
          <w:szCs w:val="24"/>
        </w:rPr>
        <w:t xml:space="preserve">na </w:t>
      </w:r>
      <w:r w:rsidR="00C52A8F">
        <w:rPr>
          <w:rFonts w:ascii="Arial" w:hAnsi="Arial" w:cs="Arial"/>
          <w:b/>
          <w:sz w:val="24"/>
          <w:szCs w:val="24"/>
        </w:rPr>
        <w:t xml:space="preserve">mylných předpokladech </w:t>
      </w:r>
      <w:r w:rsidR="001E5A97" w:rsidRPr="003F5C50">
        <w:rPr>
          <w:rFonts w:ascii="Arial" w:hAnsi="Arial" w:cs="Arial"/>
          <w:b/>
          <w:sz w:val="24"/>
          <w:szCs w:val="24"/>
        </w:rPr>
        <w:t>vzájemného konkurenčního postavení a nespravedlivě nastavených podmínek u zařízení spadajících</w:t>
      </w:r>
      <w:r w:rsidR="003F5C50">
        <w:rPr>
          <w:rFonts w:ascii="Arial" w:hAnsi="Arial" w:cs="Arial"/>
          <w:b/>
          <w:sz w:val="24"/>
          <w:szCs w:val="24"/>
        </w:rPr>
        <w:t xml:space="preserve"> pod EU ETS a </w:t>
      </w:r>
      <w:r w:rsidR="001E5A97" w:rsidRPr="003F5C50">
        <w:rPr>
          <w:rFonts w:ascii="Arial" w:hAnsi="Arial" w:cs="Arial"/>
          <w:b/>
          <w:sz w:val="24"/>
          <w:szCs w:val="24"/>
        </w:rPr>
        <w:t xml:space="preserve">mimo </w:t>
      </w:r>
      <w:r w:rsidR="001332F9" w:rsidRPr="003F5C50">
        <w:rPr>
          <w:rFonts w:ascii="Arial" w:hAnsi="Arial" w:cs="Arial"/>
          <w:b/>
          <w:sz w:val="24"/>
          <w:szCs w:val="24"/>
        </w:rPr>
        <w:t>něj.</w:t>
      </w:r>
      <w:r w:rsidR="001332F9">
        <w:rPr>
          <w:rFonts w:ascii="Arial" w:hAnsi="Arial" w:cs="Arial"/>
          <w:sz w:val="24"/>
          <w:szCs w:val="24"/>
        </w:rPr>
        <w:t xml:space="preserve"> </w:t>
      </w:r>
      <w:r w:rsidR="001332F9" w:rsidRPr="00C52A8F">
        <w:rPr>
          <w:rFonts w:ascii="Arial" w:hAnsi="Arial" w:cs="Arial"/>
          <w:sz w:val="24"/>
          <w:szCs w:val="24"/>
        </w:rPr>
        <w:t>Většina lokálních</w:t>
      </w:r>
      <w:r w:rsidR="003F5C50" w:rsidRPr="00C52A8F">
        <w:rPr>
          <w:rFonts w:ascii="Arial" w:hAnsi="Arial" w:cs="Arial"/>
          <w:sz w:val="24"/>
          <w:szCs w:val="24"/>
        </w:rPr>
        <w:t xml:space="preserve"> topenišť a </w:t>
      </w:r>
      <w:r w:rsidR="001332F9" w:rsidRPr="00C52A8F">
        <w:rPr>
          <w:rFonts w:ascii="Arial" w:hAnsi="Arial" w:cs="Arial"/>
          <w:sz w:val="24"/>
          <w:szCs w:val="24"/>
        </w:rPr>
        <w:t>malých zdrojů systémů zásobování teplem není v přímé konkurenci s centrál</w:t>
      </w:r>
      <w:r w:rsidR="009B3B0C">
        <w:rPr>
          <w:rFonts w:ascii="Arial" w:hAnsi="Arial" w:cs="Arial"/>
          <w:sz w:val="24"/>
          <w:szCs w:val="24"/>
        </w:rPr>
        <w:t>ními systémy zásobování teplem.</w:t>
      </w:r>
    </w:p>
    <w:p w:rsidR="001677B5" w:rsidRPr="001677B5" w:rsidRDefault="001677B5" w:rsidP="00DD511D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</w:r>
      <w:r w:rsidR="00C52A8F">
        <w:rPr>
          <w:rFonts w:ascii="Arial" w:hAnsi="Arial" w:cs="Arial"/>
          <w:b/>
          <w:sz w:val="24"/>
          <w:szCs w:val="24"/>
        </w:rPr>
        <w:t xml:space="preserve">Materiál </w:t>
      </w:r>
      <w:r w:rsidR="00A06C79" w:rsidRPr="00A06C79">
        <w:rPr>
          <w:rFonts w:ascii="Arial" w:hAnsi="Arial" w:cs="Arial"/>
          <w:b/>
          <w:sz w:val="24"/>
          <w:szCs w:val="24"/>
        </w:rPr>
        <w:t>nedostatečn</w:t>
      </w:r>
      <w:r w:rsidR="005D507B">
        <w:rPr>
          <w:rFonts w:ascii="Arial" w:hAnsi="Arial" w:cs="Arial"/>
          <w:b/>
          <w:sz w:val="24"/>
          <w:szCs w:val="24"/>
        </w:rPr>
        <w:t>ě</w:t>
      </w:r>
      <w:r w:rsidR="00A06C79" w:rsidRPr="00A06C79">
        <w:rPr>
          <w:rFonts w:ascii="Arial" w:hAnsi="Arial" w:cs="Arial"/>
          <w:b/>
          <w:sz w:val="24"/>
          <w:szCs w:val="24"/>
        </w:rPr>
        <w:t xml:space="preserve"> hodno</w:t>
      </w:r>
      <w:r w:rsidR="00C52A8F">
        <w:rPr>
          <w:rFonts w:ascii="Arial" w:hAnsi="Arial" w:cs="Arial"/>
          <w:b/>
          <w:sz w:val="24"/>
          <w:szCs w:val="24"/>
        </w:rPr>
        <w:t>tí</w:t>
      </w:r>
      <w:r w:rsidR="00A06C79">
        <w:rPr>
          <w:rFonts w:ascii="Arial" w:hAnsi="Arial" w:cs="Arial"/>
          <w:sz w:val="24"/>
          <w:szCs w:val="24"/>
        </w:rPr>
        <w:t xml:space="preserve"> </w:t>
      </w:r>
      <w:r w:rsidR="00663049">
        <w:rPr>
          <w:rFonts w:ascii="Arial" w:hAnsi="Arial" w:cs="Arial"/>
          <w:b/>
          <w:sz w:val="24"/>
          <w:szCs w:val="24"/>
        </w:rPr>
        <w:t xml:space="preserve">dopady </w:t>
      </w:r>
      <w:r w:rsidR="00576C9B" w:rsidRPr="00576C9B">
        <w:rPr>
          <w:rFonts w:ascii="Arial" w:hAnsi="Arial" w:cs="Arial"/>
          <w:b/>
          <w:sz w:val="24"/>
          <w:szCs w:val="24"/>
        </w:rPr>
        <w:t>z pohledu předpokládaného přechodu na jiné druhy výroby tepla (elektřina, biomasa aj.) a</w:t>
      </w:r>
      <w:r w:rsidR="00A06C79">
        <w:rPr>
          <w:rFonts w:ascii="Arial" w:hAnsi="Arial" w:cs="Arial"/>
          <w:b/>
          <w:sz w:val="24"/>
          <w:szCs w:val="24"/>
        </w:rPr>
        <w:t> </w:t>
      </w:r>
      <w:r w:rsidR="00576C9B" w:rsidRPr="00576C9B">
        <w:rPr>
          <w:rFonts w:ascii="Arial" w:hAnsi="Arial" w:cs="Arial"/>
          <w:b/>
          <w:sz w:val="24"/>
          <w:szCs w:val="24"/>
        </w:rPr>
        <w:t>s ním spojeným plnění</w:t>
      </w:r>
      <w:r w:rsidR="00A23AD2">
        <w:rPr>
          <w:rFonts w:ascii="Arial" w:hAnsi="Arial" w:cs="Arial"/>
          <w:b/>
          <w:sz w:val="24"/>
          <w:szCs w:val="24"/>
        </w:rPr>
        <w:t>m</w:t>
      </w:r>
      <w:r w:rsidR="00576C9B" w:rsidRPr="00576C9B">
        <w:rPr>
          <w:rFonts w:ascii="Arial" w:hAnsi="Arial" w:cs="Arial"/>
          <w:b/>
          <w:sz w:val="24"/>
          <w:szCs w:val="24"/>
        </w:rPr>
        <w:t xml:space="preserve"> požadovaných cílů v</w:t>
      </w:r>
      <w:r w:rsidR="00A23AD2">
        <w:rPr>
          <w:rFonts w:ascii="Arial" w:hAnsi="Arial" w:cs="Arial"/>
          <w:b/>
          <w:sz w:val="24"/>
          <w:szCs w:val="24"/>
        </w:rPr>
        <w:t> oblasti ochrany</w:t>
      </w:r>
      <w:r w:rsidR="00576C9B" w:rsidRPr="00576C9B">
        <w:rPr>
          <w:rFonts w:ascii="Arial" w:hAnsi="Arial" w:cs="Arial"/>
          <w:b/>
          <w:sz w:val="24"/>
          <w:szCs w:val="24"/>
        </w:rPr>
        <w:t xml:space="preserve"> </w:t>
      </w:r>
      <w:r w:rsidR="00706680" w:rsidRPr="00576C9B">
        <w:rPr>
          <w:rFonts w:ascii="Arial" w:hAnsi="Arial" w:cs="Arial"/>
          <w:b/>
          <w:sz w:val="24"/>
          <w:szCs w:val="24"/>
        </w:rPr>
        <w:t>životní</w:t>
      </w:r>
      <w:r w:rsidR="00A23AD2">
        <w:rPr>
          <w:rFonts w:ascii="Arial" w:hAnsi="Arial" w:cs="Arial"/>
          <w:b/>
          <w:sz w:val="24"/>
          <w:szCs w:val="24"/>
        </w:rPr>
        <w:t>ho</w:t>
      </w:r>
      <w:r w:rsidR="00706680" w:rsidRPr="00576C9B">
        <w:rPr>
          <w:rFonts w:ascii="Arial" w:hAnsi="Arial" w:cs="Arial"/>
          <w:b/>
          <w:sz w:val="24"/>
          <w:szCs w:val="24"/>
        </w:rPr>
        <w:t xml:space="preserve"> prostředí</w:t>
      </w:r>
      <w:r w:rsidRPr="00576C9B">
        <w:rPr>
          <w:rFonts w:ascii="Arial" w:hAnsi="Arial" w:cs="Arial"/>
          <w:b/>
          <w:sz w:val="24"/>
          <w:szCs w:val="24"/>
        </w:rPr>
        <w:t>.</w:t>
      </w:r>
    </w:p>
    <w:p w:rsidR="00A23AD2" w:rsidRDefault="001677B5" w:rsidP="00CE1395">
      <w:p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76">
        <w:rPr>
          <w:rFonts w:ascii="Arial" w:hAnsi="Arial" w:cs="Arial"/>
          <w:sz w:val="24"/>
          <w:szCs w:val="24"/>
        </w:rPr>
        <w:t>E)</w:t>
      </w:r>
      <w:r w:rsidRPr="00B73276">
        <w:rPr>
          <w:rFonts w:ascii="Arial" w:hAnsi="Arial" w:cs="Arial"/>
          <w:sz w:val="24"/>
          <w:szCs w:val="24"/>
        </w:rPr>
        <w:tab/>
      </w:r>
      <w:r w:rsidR="00576C9B" w:rsidRPr="00B73276">
        <w:rPr>
          <w:rFonts w:ascii="Arial" w:hAnsi="Arial" w:cs="Arial"/>
          <w:b/>
          <w:sz w:val="24"/>
          <w:szCs w:val="24"/>
        </w:rPr>
        <w:t xml:space="preserve">Materiál nad rámec zadání i bez zjevné souvislosti se zkoumanou uhlíkovou daní </w:t>
      </w:r>
      <w:r w:rsidR="00663049" w:rsidRPr="00B73276">
        <w:rPr>
          <w:rFonts w:ascii="Arial" w:hAnsi="Arial" w:cs="Arial"/>
          <w:b/>
          <w:sz w:val="24"/>
          <w:szCs w:val="24"/>
        </w:rPr>
        <w:t>otevírá problematiku</w:t>
      </w:r>
      <w:r w:rsidRPr="00B73276">
        <w:rPr>
          <w:rFonts w:ascii="Arial" w:hAnsi="Arial" w:cs="Arial"/>
          <w:b/>
          <w:sz w:val="24"/>
          <w:szCs w:val="24"/>
        </w:rPr>
        <w:t xml:space="preserve"> osvobození zemního plynu pro vytápění od ekologické daně</w:t>
      </w:r>
      <w:r w:rsidR="00576C9B" w:rsidRPr="00B73276">
        <w:rPr>
          <w:rFonts w:ascii="Arial" w:hAnsi="Arial" w:cs="Arial"/>
          <w:b/>
          <w:sz w:val="24"/>
          <w:szCs w:val="24"/>
        </w:rPr>
        <w:t>.</w:t>
      </w:r>
    </w:p>
    <w:p w:rsidR="00A23AD2" w:rsidRPr="00A23AD2" w:rsidRDefault="0009020F" w:rsidP="00CE1395">
      <w:pPr>
        <w:spacing w:before="240" w:after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Níže si dovolujeme podrobněji rozebrat </w:t>
      </w:r>
      <w:r w:rsidR="000C535F">
        <w:rPr>
          <w:rFonts w:ascii="Arial" w:hAnsi="Arial" w:cs="Arial"/>
          <w:sz w:val="24"/>
          <w:szCs w:val="24"/>
        </w:rPr>
        <w:t>odůvodnění k jednotlivým bodům.</w:t>
      </w:r>
    </w:p>
    <w:p w:rsidR="0060090C" w:rsidRPr="00044D07" w:rsidRDefault="00E83816" w:rsidP="00DD511D">
      <w:pPr>
        <w:spacing w:before="120" w:after="120"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Ad </w:t>
      </w:r>
      <w:r w:rsidR="0060090C" w:rsidRPr="00044D07">
        <w:rPr>
          <w:rFonts w:ascii="Arial" w:hAnsi="Arial" w:cs="Arial"/>
          <w:b/>
          <w:sz w:val="24"/>
          <w:szCs w:val="24"/>
          <w:u w:val="single"/>
        </w:rPr>
        <w:t xml:space="preserve">A) </w:t>
      </w:r>
      <w:r w:rsidR="00576C9B">
        <w:rPr>
          <w:rFonts w:ascii="Arial" w:hAnsi="Arial" w:cs="Arial"/>
          <w:b/>
          <w:sz w:val="24"/>
          <w:szCs w:val="24"/>
          <w:u w:val="single"/>
        </w:rPr>
        <w:t>Rozpor se zadáním vlády</w:t>
      </w:r>
    </w:p>
    <w:p w:rsidR="005967DE" w:rsidRDefault="0060090C" w:rsidP="00DD511D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A23AD2">
        <w:rPr>
          <w:rFonts w:ascii="Arial" w:hAnsi="Arial" w:cs="Arial"/>
          <w:sz w:val="24"/>
          <w:szCs w:val="24"/>
        </w:rPr>
        <w:t xml:space="preserve">Materiál v úvodu </w:t>
      </w:r>
      <w:r w:rsidR="00872308" w:rsidRPr="00A23AD2">
        <w:rPr>
          <w:rFonts w:ascii="Arial" w:hAnsi="Arial" w:cs="Arial"/>
          <w:sz w:val="24"/>
          <w:szCs w:val="24"/>
        </w:rPr>
        <w:t>deklaruje</w:t>
      </w:r>
      <w:r w:rsidR="00DD511D">
        <w:rPr>
          <w:rFonts w:ascii="Arial" w:hAnsi="Arial" w:cs="Arial"/>
          <w:sz w:val="24"/>
          <w:szCs w:val="24"/>
        </w:rPr>
        <w:t xml:space="preserve"> vazbu na </w:t>
      </w:r>
      <w:r w:rsidR="00872308" w:rsidRPr="00A23AD2">
        <w:rPr>
          <w:rFonts w:ascii="Arial" w:hAnsi="Arial" w:cs="Arial"/>
          <w:sz w:val="24"/>
          <w:szCs w:val="24"/>
        </w:rPr>
        <w:t>usnesení vlády č. 978/2015, kter</w:t>
      </w:r>
      <w:r w:rsidR="00552AF4" w:rsidRPr="00A23AD2">
        <w:rPr>
          <w:rFonts w:ascii="Arial" w:hAnsi="Arial" w:cs="Arial"/>
          <w:sz w:val="24"/>
          <w:szCs w:val="24"/>
        </w:rPr>
        <w:t xml:space="preserve">ým vláda schvaluje Národní program snižování emisí ČR, a které </w:t>
      </w:r>
      <w:r w:rsidR="00872308" w:rsidRPr="00A23AD2">
        <w:rPr>
          <w:rFonts w:ascii="Arial" w:hAnsi="Arial" w:cs="Arial"/>
          <w:sz w:val="24"/>
          <w:szCs w:val="24"/>
        </w:rPr>
        <w:t xml:space="preserve">v bodě </w:t>
      </w:r>
      <w:proofErr w:type="gramStart"/>
      <w:r w:rsidR="00872308" w:rsidRPr="00A23AD2">
        <w:rPr>
          <w:rFonts w:ascii="Arial" w:hAnsi="Arial" w:cs="Arial"/>
          <w:sz w:val="24"/>
          <w:szCs w:val="24"/>
        </w:rPr>
        <w:t>II.6 ukládá</w:t>
      </w:r>
      <w:proofErr w:type="gramEnd"/>
      <w:r w:rsidR="00872308" w:rsidRPr="00A23AD2">
        <w:rPr>
          <w:rFonts w:ascii="Arial" w:hAnsi="Arial" w:cs="Arial"/>
          <w:sz w:val="24"/>
          <w:szCs w:val="24"/>
        </w:rPr>
        <w:t xml:space="preserve"> 1.</w:t>
      </w:r>
      <w:r w:rsidR="00552AF4" w:rsidRPr="00A23AD2">
        <w:rPr>
          <w:rFonts w:ascii="Arial" w:hAnsi="Arial" w:cs="Arial"/>
          <w:sz w:val="24"/>
          <w:szCs w:val="24"/>
        </w:rPr>
        <w:t> </w:t>
      </w:r>
      <w:r w:rsidR="00872308" w:rsidRPr="00A23AD2">
        <w:rPr>
          <w:rFonts w:ascii="Arial" w:hAnsi="Arial" w:cs="Arial"/>
          <w:sz w:val="24"/>
          <w:szCs w:val="24"/>
        </w:rPr>
        <w:t xml:space="preserve">místopředsedovi vlády pro ekonomiku a ministru financí </w:t>
      </w:r>
      <w:r w:rsidR="00872308" w:rsidRPr="00A23AD2">
        <w:rPr>
          <w:rFonts w:ascii="Arial" w:hAnsi="Arial" w:cs="Arial"/>
          <w:i/>
          <w:sz w:val="24"/>
          <w:szCs w:val="24"/>
        </w:rPr>
        <w:t>„zpracovat ve spolupráci s</w:t>
      </w:r>
      <w:r w:rsidR="00552AF4" w:rsidRPr="00A23AD2">
        <w:rPr>
          <w:rFonts w:ascii="Arial" w:hAnsi="Arial" w:cs="Arial"/>
          <w:i/>
          <w:sz w:val="24"/>
          <w:szCs w:val="24"/>
        </w:rPr>
        <w:t> </w:t>
      </w:r>
      <w:r w:rsidR="00872308" w:rsidRPr="00A23AD2">
        <w:rPr>
          <w:rFonts w:ascii="Arial" w:hAnsi="Arial" w:cs="Arial"/>
          <w:i/>
          <w:sz w:val="24"/>
          <w:szCs w:val="24"/>
        </w:rPr>
        <w:t>ministry životního prostředí a</w:t>
      </w:r>
      <w:r w:rsidR="000F4E1B">
        <w:rPr>
          <w:rFonts w:ascii="Arial" w:hAnsi="Arial" w:cs="Arial"/>
          <w:i/>
          <w:sz w:val="24"/>
          <w:szCs w:val="24"/>
        </w:rPr>
        <w:t> </w:t>
      </w:r>
      <w:r w:rsidR="00872308" w:rsidRPr="00A23AD2">
        <w:rPr>
          <w:rFonts w:ascii="Arial" w:hAnsi="Arial" w:cs="Arial"/>
          <w:i/>
          <w:sz w:val="24"/>
          <w:szCs w:val="24"/>
        </w:rPr>
        <w:t>průmyslu a obchodu a předložit vládě do 31. prosince 2016 analýzu variant řešení a</w:t>
      </w:r>
      <w:r w:rsidR="000F4E1B">
        <w:rPr>
          <w:rFonts w:ascii="Arial" w:hAnsi="Arial" w:cs="Arial"/>
          <w:i/>
          <w:sz w:val="24"/>
          <w:szCs w:val="24"/>
        </w:rPr>
        <w:t> </w:t>
      </w:r>
      <w:r w:rsidR="00872308" w:rsidRPr="00A23AD2">
        <w:rPr>
          <w:rFonts w:ascii="Arial" w:hAnsi="Arial" w:cs="Arial"/>
          <w:i/>
          <w:sz w:val="24"/>
          <w:szCs w:val="24"/>
        </w:rPr>
        <w:t>jejich dopadů pro přípravu návrhu novely zákona č.</w:t>
      </w:r>
      <w:r w:rsidR="00552AF4" w:rsidRPr="00A23AD2">
        <w:rPr>
          <w:rFonts w:ascii="Arial" w:hAnsi="Arial" w:cs="Arial"/>
          <w:i/>
          <w:sz w:val="24"/>
          <w:szCs w:val="24"/>
        </w:rPr>
        <w:t> </w:t>
      </w:r>
      <w:r w:rsidR="00872308" w:rsidRPr="00A23AD2">
        <w:rPr>
          <w:rFonts w:ascii="Arial" w:hAnsi="Arial" w:cs="Arial"/>
          <w:i/>
          <w:sz w:val="24"/>
          <w:szCs w:val="24"/>
        </w:rPr>
        <w:t>261/2007 Sb., o stabilizaci veřejných rozpočtů, ve znění pozdějších předpisů, která vytvoří podmínky pro snížení podílu pevných fosilních paliv ve spalovacích stacionárních zdrojích nespadajících pod systém EU ETS s</w:t>
      </w:r>
      <w:r w:rsidR="00C81EE0" w:rsidRPr="00A23AD2">
        <w:rPr>
          <w:rFonts w:ascii="Arial" w:hAnsi="Arial" w:cs="Arial"/>
          <w:i/>
          <w:sz w:val="24"/>
          <w:szCs w:val="24"/>
        </w:rPr>
        <w:t> </w:t>
      </w:r>
      <w:r w:rsidR="00872308" w:rsidRPr="00A23AD2">
        <w:rPr>
          <w:rFonts w:ascii="Arial" w:hAnsi="Arial" w:cs="Arial"/>
          <w:i/>
          <w:sz w:val="24"/>
          <w:szCs w:val="24"/>
        </w:rPr>
        <w:t>předpokládanou implementací k roku 2018</w:t>
      </w:r>
      <w:r w:rsidR="00C81EE0" w:rsidRPr="00A23AD2">
        <w:rPr>
          <w:rFonts w:ascii="Arial" w:hAnsi="Arial" w:cs="Arial"/>
          <w:i/>
          <w:sz w:val="24"/>
          <w:szCs w:val="24"/>
        </w:rPr>
        <w:t>“.</w:t>
      </w:r>
      <w:r w:rsidR="00552AF4" w:rsidRPr="00A23AD2">
        <w:rPr>
          <w:rFonts w:ascii="Arial" w:hAnsi="Arial" w:cs="Arial"/>
          <w:sz w:val="24"/>
          <w:szCs w:val="24"/>
        </w:rPr>
        <w:t xml:space="preserve"> Dále odkazuje na opatření BA3, </w:t>
      </w:r>
      <w:r w:rsidR="00552AF4" w:rsidRPr="00A23AD2">
        <w:rPr>
          <w:rFonts w:ascii="Arial" w:hAnsi="Arial" w:cs="Arial"/>
          <w:sz w:val="24"/>
          <w:szCs w:val="24"/>
        </w:rPr>
        <w:lastRenderedPageBreak/>
        <w:t>které se nazývá „Snížení podílu pevných fosilních paliv ve spalovacích stacionárních zdrojích nespadajících pod systém EU ETS</w:t>
      </w:r>
      <w:r w:rsidR="00F54C8E" w:rsidRPr="00A23AD2">
        <w:rPr>
          <w:rFonts w:ascii="Arial" w:hAnsi="Arial" w:cs="Arial"/>
          <w:sz w:val="24"/>
          <w:szCs w:val="24"/>
        </w:rPr>
        <w:t>“</w:t>
      </w:r>
      <w:r w:rsidR="00B57CC1" w:rsidRPr="00A23AD2">
        <w:rPr>
          <w:rFonts w:ascii="Arial" w:hAnsi="Arial" w:cs="Arial"/>
          <w:sz w:val="24"/>
          <w:szCs w:val="24"/>
        </w:rPr>
        <w:t>.</w:t>
      </w:r>
    </w:p>
    <w:p w:rsidR="00A6152D" w:rsidRPr="00B5710B" w:rsidRDefault="00B5710B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hlediska věcného </w:t>
      </w:r>
      <w:r w:rsidR="00A6152D">
        <w:rPr>
          <w:rFonts w:ascii="Arial" w:hAnsi="Arial" w:cs="Arial"/>
          <w:sz w:val="24"/>
          <w:szCs w:val="24"/>
        </w:rPr>
        <w:t>je</w:t>
      </w:r>
      <w:r w:rsidR="00E83816">
        <w:rPr>
          <w:rFonts w:ascii="Arial" w:hAnsi="Arial" w:cs="Arial"/>
          <w:sz w:val="24"/>
          <w:szCs w:val="24"/>
        </w:rPr>
        <w:t xml:space="preserve"> </w:t>
      </w:r>
      <w:r w:rsidR="00A6152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jevné, že požadovaná </w:t>
      </w:r>
      <w:r w:rsidR="00A6152D">
        <w:rPr>
          <w:rFonts w:ascii="Arial" w:hAnsi="Arial" w:cs="Arial"/>
          <w:sz w:val="24"/>
          <w:szCs w:val="24"/>
        </w:rPr>
        <w:t>analýza variant</w:t>
      </w:r>
      <w:r>
        <w:rPr>
          <w:rFonts w:ascii="Arial" w:hAnsi="Arial" w:cs="Arial"/>
          <w:sz w:val="24"/>
          <w:szCs w:val="24"/>
        </w:rPr>
        <w:t xml:space="preserve"> řešení </w:t>
      </w:r>
      <w:r w:rsidRPr="00B5710B">
        <w:rPr>
          <w:rFonts w:ascii="Arial" w:hAnsi="Arial" w:cs="Arial"/>
          <w:sz w:val="24"/>
          <w:szCs w:val="24"/>
        </w:rPr>
        <w:t>a jejich dopadů pro přípravu návrhu novely zákona č. 261/2007 Sb.</w:t>
      </w:r>
      <w:r>
        <w:rPr>
          <w:rFonts w:ascii="Arial" w:hAnsi="Arial" w:cs="Arial"/>
          <w:sz w:val="24"/>
          <w:szCs w:val="24"/>
        </w:rPr>
        <w:t xml:space="preserve"> </w:t>
      </w:r>
      <w:r w:rsidR="00A6152D">
        <w:rPr>
          <w:rFonts w:ascii="Arial" w:hAnsi="Arial" w:cs="Arial"/>
          <w:sz w:val="24"/>
          <w:szCs w:val="24"/>
        </w:rPr>
        <w:t>se má týkat vý</w:t>
      </w:r>
      <w:r>
        <w:rPr>
          <w:rFonts w:ascii="Arial" w:hAnsi="Arial" w:cs="Arial"/>
          <w:sz w:val="24"/>
          <w:szCs w:val="24"/>
        </w:rPr>
        <w:t xml:space="preserve">hradně </w:t>
      </w:r>
      <w:r w:rsidR="00A6152D">
        <w:rPr>
          <w:rFonts w:ascii="Arial" w:hAnsi="Arial" w:cs="Arial"/>
          <w:sz w:val="24"/>
          <w:szCs w:val="24"/>
        </w:rPr>
        <w:t>opatření</w:t>
      </w:r>
      <w:r>
        <w:rPr>
          <w:rFonts w:ascii="Arial" w:hAnsi="Arial" w:cs="Arial"/>
          <w:sz w:val="24"/>
          <w:szCs w:val="24"/>
        </w:rPr>
        <w:t xml:space="preserve">, která zajistí snížení </w:t>
      </w:r>
      <w:r w:rsidRPr="00DB31CA">
        <w:rPr>
          <w:rFonts w:ascii="Arial" w:hAnsi="Arial" w:cs="Arial"/>
          <w:sz w:val="24"/>
          <w:szCs w:val="24"/>
        </w:rPr>
        <w:t xml:space="preserve">podílu pevných </w:t>
      </w:r>
      <w:r w:rsidR="00A6152D" w:rsidRPr="00DB31CA">
        <w:rPr>
          <w:rFonts w:ascii="Arial" w:hAnsi="Arial" w:cs="Arial"/>
          <w:sz w:val="24"/>
          <w:szCs w:val="24"/>
        </w:rPr>
        <w:t>fosilních</w:t>
      </w:r>
      <w:r w:rsidR="00A6152D" w:rsidRPr="00B5710B">
        <w:rPr>
          <w:rFonts w:ascii="Arial" w:hAnsi="Arial" w:cs="Arial"/>
          <w:sz w:val="24"/>
          <w:szCs w:val="24"/>
        </w:rPr>
        <w:t xml:space="preserve"> paliv</w:t>
      </w:r>
      <w:r w:rsidRPr="00B5710B">
        <w:rPr>
          <w:rFonts w:ascii="Arial" w:hAnsi="Arial" w:cs="Arial"/>
          <w:sz w:val="24"/>
          <w:szCs w:val="24"/>
        </w:rPr>
        <w:t xml:space="preserve"> ve stacionárních zdrojích</w:t>
      </w:r>
      <w:r w:rsidR="00DB31CA">
        <w:rPr>
          <w:rFonts w:ascii="Arial" w:hAnsi="Arial" w:cs="Arial"/>
          <w:sz w:val="24"/>
          <w:szCs w:val="24"/>
        </w:rPr>
        <w:t>,</w:t>
      </w:r>
      <w:r w:rsidR="00E83816">
        <w:rPr>
          <w:rFonts w:ascii="Arial" w:hAnsi="Arial" w:cs="Arial"/>
          <w:sz w:val="24"/>
          <w:szCs w:val="24"/>
        </w:rPr>
        <w:t xml:space="preserve"> a to s cílem snížit emise škodlivých látek</w:t>
      </w:r>
      <w:r w:rsidRPr="00B571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A20F2">
        <w:rPr>
          <w:rFonts w:ascii="Arial" w:hAnsi="Arial" w:cs="Arial"/>
          <w:sz w:val="24"/>
          <w:szCs w:val="24"/>
        </w:rPr>
        <w:t>Rozšíření předmětu analýzy na téměř všechny běžné nosiče energie</w:t>
      </w:r>
      <w:r w:rsidR="00E83816">
        <w:rPr>
          <w:rFonts w:ascii="Arial" w:hAnsi="Arial" w:cs="Arial"/>
          <w:sz w:val="24"/>
          <w:szCs w:val="24"/>
        </w:rPr>
        <w:t>,</w:t>
      </w:r>
      <w:r w:rsidR="008A20F2">
        <w:rPr>
          <w:rFonts w:ascii="Arial" w:hAnsi="Arial" w:cs="Arial"/>
          <w:sz w:val="24"/>
          <w:szCs w:val="24"/>
        </w:rPr>
        <w:t xml:space="preserve"> bylo učiněno pouze na základě </w:t>
      </w:r>
      <w:r w:rsidR="00D1414F">
        <w:rPr>
          <w:rFonts w:ascii="Arial" w:hAnsi="Arial" w:cs="Arial"/>
          <w:sz w:val="24"/>
          <w:szCs w:val="24"/>
        </w:rPr>
        <w:t xml:space="preserve">extenzivního </w:t>
      </w:r>
      <w:r w:rsidR="008A20F2">
        <w:rPr>
          <w:rFonts w:ascii="Arial" w:hAnsi="Arial" w:cs="Arial"/>
          <w:sz w:val="24"/>
          <w:szCs w:val="24"/>
        </w:rPr>
        <w:t>výkladu zadání.</w:t>
      </w:r>
    </w:p>
    <w:p w:rsidR="00D56B4C" w:rsidRPr="00044D07" w:rsidRDefault="00E83816" w:rsidP="00180E49">
      <w:pPr>
        <w:spacing w:before="240" w:after="120"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Ad </w:t>
      </w:r>
      <w:r w:rsidR="00D56B4C" w:rsidRPr="00044D07">
        <w:rPr>
          <w:rFonts w:ascii="Arial" w:hAnsi="Arial" w:cs="Arial"/>
          <w:b/>
          <w:sz w:val="24"/>
          <w:szCs w:val="24"/>
          <w:u w:val="single"/>
        </w:rPr>
        <w:t xml:space="preserve">B) </w:t>
      </w:r>
      <w:r>
        <w:rPr>
          <w:rFonts w:ascii="Arial" w:hAnsi="Arial" w:cs="Arial"/>
          <w:b/>
          <w:sz w:val="24"/>
          <w:szCs w:val="24"/>
          <w:u w:val="single"/>
        </w:rPr>
        <w:t>Neplnění stanovených cílů</w:t>
      </w:r>
    </w:p>
    <w:p w:rsidR="00180E49" w:rsidRDefault="00D26C8D" w:rsidP="00180E49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Jedním z důvodů přijetí </w:t>
      </w:r>
      <w:r w:rsidRPr="00D26C8D">
        <w:rPr>
          <w:rFonts w:ascii="Arial" w:hAnsi="Arial" w:cs="Arial"/>
          <w:sz w:val="24"/>
          <w:szCs w:val="24"/>
        </w:rPr>
        <w:t>Národní</w:t>
      </w:r>
      <w:r>
        <w:rPr>
          <w:rFonts w:ascii="Arial" w:hAnsi="Arial" w:cs="Arial"/>
          <w:sz w:val="24"/>
          <w:szCs w:val="24"/>
        </w:rPr>
        <w:t>ho</w:t>
      </w:r>
      <w:r w:rsidRPr="00D26C8D">
        <w:rPr>
          <w:rFonts w:ascii="Arial" w:hAnsi="Arial" w:cs="Arial"/>
          <w:sz w:val="24"/>
          <w:szCs w:val="24"/>
        </w:rPr>
        <w:t xml:space="preserve"> program</w:t>
      </w:r>
      <w:r w:rsidR="00D1414F">
        <w:rPr>
          <w:rFonts w:ascii="Arial" w:hAnsi="Arial" w:cs="Arial"/>
          <w:sz w:val="24"/>
          <w:szCs w:val="24"/>
        </w:rPr>
        <w:t>u</w:t>
      </w:r>
      <w:r w:rsidRPr="00D26C8D">
        <w:rPr>
          <w:rFonts w:ascii="Arial" w:hAnsi="Arial" w:cs="Arial"/>
          <w:sz w:val="24"/>
          <w:szCs w:val="24"/>
        </w:rPr>
        <w:t xml:space="preserve"> snižování emisí Č</w:t>
      </w:r>
      <w:r>
        <w:rPr>
          <w:rFonts w:ascii="Arial" w:hAnsi="Arial" w:cs="Arial"/>
          <w:sz w:val="24"/>
          <w:szCs w:val="24"/>
        </w:rPr>
        <w:t xml:space="preserve">R bylo neplnění </w:t>
      </w:r>
      <w:r w:rsidRPr="00D26C8D">
        <w:rPr>
          <w:rFonts w:ascii="Arial" w:hAnsi="Arial" w:cs="Arial"/>
          <w:sz w:val="24"/>
          <w:szCs w:val="24"/>
        </w:rPr>
        <w:t>imisních limitů pro některé znečišťující látky (zejména suspendované částice velikostních frakcí PM</w:t>
      </w:r>
      <w:r w:rsidRPr="00D26C8D">
        <w:rPr>
          <w:rFonts w:ascii="Arial" w:hAnsi="Arial" w:cs="Arial"/>
          <w:sz w:val="24"/>
          <w:szCs w:val="24"/>
          <w:vertAlign w:val="subscript"/>
        </w:rPr>
        <w:t>10</w:t>
      </w:r>
      <w:r w:rsidRPr="00D26C8D">
        <w:rPr>
          <w:rFonts w:ascii="Arial" w:hAnsi="Arial" w:cs="Arial"/>
          <w:sz w:val="24"/>
          <w:szCs w:val="24"/>
        </w:rPr>
        <w:t xml:space="preserve"> a PM</w:t>
      </w:r>
      <w:r w:rsidRPr="00D26C8D">
        <w:rPr>
          <w:rFonts w:ascii="Arial" w:hAnsi="Arial" w:cs="Arial"/>
          <w:sz w:val="24"/>
          <w:szCs w:val="24"/>
          <w:vertAlign w:val="subscript"/>
        </w:rPr>
        <w:t>2.5</w:t>
      </w:r>
      <w:r w:rsidRPr="00D26C8D">
        <w:rPr>
          <w:rFonts w:ascii="Arial" w:hAnsi="Arial" w:cs="Arial"/>
          <w:sz w:val="24"/>
          <w:szCs w:val="24"/>
        </w:rPr>
        <w:t xml:space="preserve">, troposférický ozón a </w:t>
      </w:r>
      <w:proofErr w:type="spellStart"/>
      <w:proofErr w:type="gramStart"/>
      <w:r w:rsidRPr="00D26C8D">
        <w:rPr>
          <w:rFonts w:ascii="Arial" w:hAnsi="Arial" w:cs="Arial"/>
          <w:sz w:val="24"/>
          <w:szCs w:val="24"/>
        </w:rPr>
        <w:t>benzo</w:t>
      </w:r>
      <w:proofErr w:type="spellEnd"/>
      <w:r w:rsidRPr="00D26C8D">
        <w:rPr>
          <w:rFonts w:ascii="Arial" w:hAnsi="Arial" w:cs="Arial"/>
          <w:sz w:val="24"/>
          <w:szCs w:val="24"/>
        </w:rPr>
        <w:t>(a)</w:t>
      </w:r>
      <w:proofErr w:type="spellStart"/>
      <w:r w:rsidRPr="00D26C8D">
        <w:rPr>
          <w:rFonts w:ascii="Arial" w:hAnsi="Arial" w:cs="Arial"/>
          <w:sz w:val="24"/>
          <w:szCs w:val="24"/>
        </w:rPr>
        <w:t>pyren</w:t>
      </w:r>
      <w:proofErr w:type="spellEnd"/>
      <w:proofErr w:type="gramEnd"/>
      <w:r w:rsidRPr="00D26C8D">
        <w:rPr>
          <w:rFonts w:ascii="Arial" w:hAnsi="Arial" w:cs="Arial"/>
          <w:sz w:val="24"/>
          <w:szCs w:val="24"/>
        </w:rPr>
        <w:t>), které mají výrazné negativní dopady na lidské zdraví, ekosystémy a vegetaci</w:t>
      </w:r>
      <w:r w:rsidR="00180E49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D26C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4A5F" w:rsidRPr="00180E49" w:rsidRDefault="00606420" w:rsidP="00180E49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 xml:space="preserve">Materiál </w:t>
      </w:r>
      <w:r w:rsidR="00180E49" w:rsidRPr="00180E49">
        <w:rPr>
          <w:rFonts w:ascii="Arial" w:hAnsi="Arial" w:cs="Arial"/>
          <w:sz w:val="24"/>
          <w:szCs w:val="24"/>
        </w:rPr>
        <w:t>na základě provedených emisních a imisních analýz</w:t>
      </w:r>
      <w:r w:rsidR="00E4738B" w:rsidRPr="00180E49">
        <w:rPr>
          <w:rFonts w:ascii="Arial" w:hAnsi="Arial" w:cs="Arial"/>
          <w:sz w:val="24"/>
          <w:szCs w:val="24"/>
        </w:rPr>
        <w:t xml:space="preserve"> navrhuje konkrétní opatření s jasně stanoveným cílem. </w:t>
      </w:r>
      <w:r w:rsidR="001522E5" w:rsidRPr="00180E49">
        <w:rPr>
          <w:rFonts w:ascii="Arial" w:hAnsi="Arial" w:cs="Arial"/>
          <w:sz w:val="24"/>
          <w:szCs w:val="24"/>
        </w:rPr>
        <w:t>O</w:t>
      </w:r>
      <w:r w:rsidR="00E4738B" w:rsidRPr="00180E49">
        <w:rPr>
          <w:rFonts w:ascii="Arial" w:hAnsi="Arial" w:cs="Arial"/>
          <w:sz w:val="24"/>
          <w:szCs w:val="24"/>
        </w:rPr>
        <w:t>patření BA3 Snížení podílu pevných fosilních paliv ve spalovacích stacionárních zdrojích nespadajících pod systém EU ETS, jehož primárním účelem je snížení emisí NO</w:t>
      </w:r>
      <w:r w:rsidR="00E4738B" w:rsidRPr="00180E49">
        <w:rPr>
          <w:rFonts w:ascii="Arial" w:hAnsi="Arial" w:cs="Arial"/>
          <w:sz w:val="24"/>
          <w:szCs w:val="24"/>
          <w:vertAlign w:val="subscript"/>
        </w:rPr>
        <w:t>X</w:t>
      </w:r>
      <w:r w:rsidR="00E4738B" w:rsidRPr="00180E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VOC</w:t>
      </w:r>
      <w:proofErr w:type="spellEnd"/>
      <w:r w:rsidR="00E4738B" w:rsidRPr="00180E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PM</w:t>
      </w:r>
      <w:r w:rsidR="00E4738B" w:rsidRPr="00180E49">
        <w:rPr>
          <w:rFonts w:ascii="Arial" w:hAnsi="Arial" w:cs="Arial"/>
          <w:sz w:val="24"/>
          <w:szCs w:val="24"/>
          <w:vertAlign w:val="subscript"/>
        </w:rPr>
        <w:t>10</w:t>
      </w:r>
      <w:proofErr w:type="spellEnd"/>
      <w:r w:rsidR="00E4738B" w:rsidRPr="00180E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PM</w:t>
      </w:r>
      <w:r w:rsidR="00E4738B" w:rsidRPr="00180E49">
        <w:rPr>
          <w:rFonts w:ascii="Arial" w:hAnsi="Arial" w:cs="Arial"/>
          <w:sz w:val="24"/>
          <w:szCs w:val="24"/>
          <w:vertAlign w:val="subscript"/>
        </w:rPr>
        <w:t>2.5</w:t>
      </w:r>
      <w:proofErr w:type="spellEnd"/>
      <w:r w:rsidR="00E4738B" w:rsidRPr="00180E49">
        <w:rPr>
          <w:rFonts w:ascii="Arial" w:hAnsi="Arial" w:cs="Arial"/>
          <w:sz w:val="24"/>
          <w:szCs w:val="24"/>
        </w:rPr>
        <w:t xml:space="preserve"> a </w:t>
      </w:r>
      <w:proofErr w:type="spellStart"/>
      <w:proofErr w:type="gramStart"/>
      <w:r w:rsidR="00E4738B" w:rsidRPr="00180E49">
        <w:rPr>
          <w:rFonts w:ascii="Arial" w:hAnsi="Arial" w:cs="Arial"/>
          <w:sz w:val="24"/>
          <w:szCs w:val="24"/>
        </w:rPr>
        <w:t>benzo</w:t>
      </w:r>
      <w:proofErr w:type="spellEnd"/>
      <w:r w:rsidR="00E4738B" w:rsidRPr="00180E49">
        <w:rPr>
          <w:rFonts w:ascii="Arial" w:hAnsi="Arial" w:cs="Arial"/>
          <w:sz w:val="24"/>
          <w:szCs w:val="24"/>
        </w:rPr>
        <w:t>(a)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pyrenu</w:t>
      </w:r>
      <w:proofErr w:type="spellEnd"/>
      <w:proofErr w:type="gramEnd"/>
      <w:r w:rsidR="00E4738B" w:rsidRPr="00180E4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BaP</w:t>
      </w:r>
      <w:proofErr w:type="spellEnd"/>
      <w:r w:rsidR="00E4738B" w:rsidRPr="00180E49">
        <w:rPr>
          <w:rFonts w:ascii="Arial" w:hAnsi="Arial" w:cs="Arial"/>
          <w:sz w:val="24"/>
          <w:szCs w:val="24"/>
        </w:rPr>
        <w:t>)</w:t>
      </w:r>
      <w:r w:rsidR="002B4A53" w:rsidRPr="00180E49">
        <w:rPr>
          <w:rFonts w:ascii="Arial" w:hAnsi="Arial" w:cs="Arial"/>
          <w:sz w:val="24"/>
          <w:szCs w:val="24"/>
        </w:rPr>
        <w:t>,</w:t>
      </w:r>
      <w:r w:rsidR="00E4738B" w:rsidRPr="00180E49">
        <w:rPr>
          <w:rFonts w:ascii="Arial" w:hAnsi="Arial" w:cs="Arial"/>
          <w:sz w:val="24"/>
          <w:szCs w:val="24"/>
        </w:rPr>
        <w:t xml:space="preserve"> a tím snížení expozice obyvatel 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PM</w:t>
      </w:r>
      <w:r w:rsidR="00E4738B" w:rsidRPr="00180E49">
        <w:rPr>
          <w:rFonts w:ascii="Arial" w:hAnsi="Arial" w:cs="Arial"/>
          <w:sz w:val="24"/>
          <w:szCs w:val="24"/>
          <w:vertAlign w:val="subscript"/>
        </w:rPr>
        <w:t>10</w:t>
      </w:r>
      <w:proofErr w:type="spellEnd"/>
      <w:r w:rsidR="00E4738B" w:rsidRPr="00180E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PM</w:t>
      </w:r>
      <w:r w:rsidR="00E4738B" w:rsidRPr="00180E49">
        <w:rPr>
          <w:rFonts w:ascii="Arial" w:hAnsi="Arial" w:cs="Arial"/>
          <w:sz w:val="24"/>
          <w:szCs w:val="24"/>
          <w:vertAlign w:val="subscript"/>
        </w:rPr>
        <w:t>2.5</w:t>
      </w:r>
      <w:proofErr w:type="spellEnd"/>
      <w:r w:rsidR="00E4738B" w:rsidRPr="00180E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NO</w:t>
      </w:r>
      <w:r w:rsidR="00E4738B" w:rsidRPr="00180E49">
        <w:rPr>
          <w:rFonts w:ascii="Arial" w:hAnsi="Arial" w:cs="Arial"/>
          <w:sz w:val="24"/>
          <w:szCs w:val="24"/>
          <w:vertAlign w:val="subscript"/>
        </w:rPr>
        <w:t>2</w:t>
      </w:r>
      <w:proofErr w:type="spellEnd"/>
      <w:r w:rsidR="001D6005">
        <w:rPr>
          <w:rFonts w:ascii="Arial" w:hAnsi="Arial" w:cs="Arial"/>
          <w:sz w:val="24"/>
          <w:szCs w:val="24"/>
        </w:rPr>
        <w:t>,</w:t>
      </w:r>
      <w:r w:rsidR="00E4738B" w:rsidRPr="00180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BaP</w:t>
      </w:r>
      <w:proofErr w:type="spellEnd"/>
      <w:r w:rsidR="00E4738B" w:rsidRPr="00180E49">
        <w:rPr>
          <w:rFonts w:ascii="Arial" w:hAnsi="Arial" w:cs="Arial"/>
          <w:sz w:val="24"/>
          <w:szCs w:val="24"/>
        </w:rPr>
        <w:t xml:space="preserve"> a troposférickým ozonem (</w:t>
      </w:r>
      <w:proofErr w:type="spellStart"/>
      <w:r w:rsidR="00E4738B" w:rsidRPr="00180E49">
        <w:rPr>
          <w:rFonts w:ascii="Arial" w:hAnsi="Arial" w:cs="Arial"/>
          <w:sz w:val="24"/>
          <w:szCs w:val="24"/>
        </w:rPr>
        <w:t>O</w:t>
      </w:r>
      <w:r w:rsidR="00E4738B" w:rsidRPr="00180E49">
        <w:rPr>
          <w:rFonts w:ascii="Arial" w:hAnsi="Arial" w:cs="Arial"/>
          <w:sz w:val="24"/>
          <w:szCs w:val="24"/>
          <w:vertAlign w:val="subscript"/>
        </w:rPr>
        <w:t>3</w:t>
      </w:r>
      <w:proofErr w:type="spellEnd"/>
      <w:r w:rsidR="00E4738B" w:rsidRPr="00180E49">
        <w:rPr>
          <w:rFonts w:ascii="Arial" w:hAnsi="Arial" w:cs="Arial"/>
          <w:sz w:val="24"/>
          <w:szCs w:val="24"/>
        </w:rPr>
        <w:t>).</w:t>
      </w:r>
      <w:r w:rsidR="00106C8A" w:rsidRPr="00180E49">
        <w:rPr>
          <w:rFonts w:ascii="Arial" w:hAnsi="Arial" w:cs="Arial"/>
          <w:sz w:val="24"/>
          <w:szCs w:val="24"/>
        </w:rPr>
        <w:t xml:space="preserve"> Stejnému účelu mají synergicky přispět i opatření DA1 Podpora </w:t>
      </w:r>
      <w:r w:rsidR="001522E5" w:rsidRPr="00180E49">
        <w:rPr>
          <w:rFonts w:ascii="Arial" w:hAnsi="Arial" w:cs="Arial"/>
          <w:sz w:val="24"/>
          <w:szCs w:val="24"/>
        </w:rPr>
        <w:t>urychlení obměny zdrojů tepla v </w:t>
      </w:r>
      <w:r w:rsidR="00106C8A" w:rsidRPr="00180E49">
        <w:rPr>
          <w:rFonts w:ascii="Arial" w:hAnsi="Arial" w:cs="Arial"/>
          <w:sz w:val="24"/>
          <w:szCs w:val="24"/>
        </w:rPr>
        <w:t>sektoru lokálního vytápění domácností a DB10 Omezení dostupnosti spalovacích stacionárních zdrojů o jmenovitém tepelném příkonu nižším než 300 kW určených ke spalování uhlí.</w:t>
      </w:r>
    </w:p>
    <w:p w:rsidR="00106C8A" w:rsidRDefault="00180E49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 xml:space="preserve">Z výše uvedeného je </w:t>
      </w:r>
      <w:r w:rsidR="00106C8A" w:rsidRPr="00180E49">
        <w:rPr>
          <w:rFonts w:ascii="Arial" w:hAnsi="Arial" w:cs="Arial"/>
          <w:sz w:val="24"/>
          <w:szCs w:val="24"/>
        </w:rPr>
        <w:t xml:space="preserve">zjevné, že požadovaná analýza variant řešení a jejich dopadů pro přípravu návrhu novely zákona č. 261/2007 Sb. má sloužit k nalezení optimálního nastavení zdanění tak, aby vyústila </w:t>
      </w:r>
      <w:r w:rsidR="006D3111" w:rsidRPr="00180E49">
        <w:rPr>
          <w:rFonts w:ascii="Arial" w:hAnsi="Arial" w:cs="Arial"/>
          <w:sz w:val="24"/>
          <w:szCs w:val="24"/>
        </w:rPr>
        <w:t xml:space="preserve">prioritně </w:t>
      </w:r>
      <w:r w:rsidR="00106C8A" w:rsidRPr="00180E49">
        <w:rPr>
          <w:rFonts w:ascii="Arial" w:hAnsi="Arial" w:cs="Arial"/>
          <w:sz w:val="24"/>
          <w:szCs w:val="24"/>
        </w:rPr>
        <w:t xml:space="preserve">v maximální eliminaci emisí, </w:t>
      </w:r>
      <w:r w:rsidR="002B4A53" w:rsidRPr="00180E49">
        <w:rPr>
          <w:rFonts w:ascii="Arial" w:hAnsi="Arial" w:cs="Arial"/>
          <w:sz w:val="24"/>
          <w:szCs w:val="24"/>
        </w:rPr>
        <w:t xml:space="preserve">které </w:t>
      </w:r>
      <w:r w:rsidR="00106C8A" w:rsidRPr="00180E49">
        <w:rPr>
          <w:rFonts w:ascii="Arial" w:hAnsi="Arial" w:cs="Arial"/>
          <w:sz w:val="24"/>
          <w:szCs w:val="24"/>
        </w:rPr>
        <w:t xml:space="preserve">mají výrazné negativní dopady na lidské zdraví, ekosystémy a vegetaci. Tedy </w:t>
      </w:r>
      <w:r w:rsidR="006D3111" w:rsidRPr="00180E49">
        <w:rPr>
          <w:rFonts w:ascii="Arial" w:hAnsi="Arial" w:cs="Arial"/>
          <w:sz w:val="24"/>
          <w:szCs w:val="24"/>
        </w:rPr>
        <w:t>emisí NO</w:t>
      </w:r>
      <w:r w:rsidR="006D3111" w:rsidRPr="00180E49">
        <w:rPr>
          <w:rFonts w:ascii="Arial" w:hAnsi="Arial" w:cs="Arial"/>
          <w:sz w:val="24"/>
          <w:szCs w:val="24"/>
          <w:vertAlign w:val="subscript"/>
        </w:rPr>
        <w:t>X</w:t>
      </w:r>
      <w:r w:rsidR="006D3111" w:rsidRPr="00180E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3111" w:rsidRPr="00180E49">
        <w:rPr>
          <w:rFonts w:ascii="Arial" w:hAnsi="Arial" w:cs="Arial"/>
          <w:sz w:val="24"/>
          <w:szCs w:val="24"/>
        </w:rPr>
        <w:t>VOC</w:t>
      </w:r>
      <w:proofErr w:type="spellEnd"/>
      <w:r w:rsidR="006D3111" w:rsidRPr="00180E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3111" w:rsidRPr="00180E49">
        <w:rPr>
          <w:rFonts w:ascii="Arial" w:hAnsi="Arial" w:cs="Arial"/>
          <w:sz w:val="24"/>
          <w:szCs w:val="24"/>
        </w:rPr>
        <w:t>PM</w:t>
      </w:r>
      <w:r w:rsidR="006D3111" w:rsidRPr="00180E49">
        <w:rPr>
          <w:rFonts w:ascii="Arial" w:hAnsi="Arial" w:cs="Arial"/>
          <w:sz w:val="24"/>
          <w:szCs w:val="24"/>
          <w:vertAlign w:val="subscript"/>
        </w:rPr>
        <w:t>10</w:t>
      </w:r>
      <w:proofErr w:type="spellEnd"/>
      <w:r w:rsidR="006D3111" w:rsidRPr="00180E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3111" w:rsidRPr="00180E49">
        <w:rPr>
          <w:rFonts w:ascii="Arial" w:hAnsi="Arial" w:cs="Arial"/>
          <w:sz w:val="24"/>
          <w:szCs w:val="24"/>
        </w:rPr>
        <w:t>PM</w:t>
      </w:r>
      <w:r w:rsidR="006D3111" w:rsidRPr="00180E49">
        <w:rPr>
          <w:rFonts w:ascii="Arial" w:hAnsi="Arial" w:cs="Arial"/>
          <w:sz w:val="24"/>
          <w:szCs w:val="24"/>
          <w:vertAlign w:val="subscript"/>
        </w:rPr>
        <w:t>2.5</w:t>
      </w:r>
      <w:proofErr w:type="spellEnd"/>
      <w:r w:rsidR="006D3111" w:rsidRPr="00180E49">
        <w:rPr>
          <w:rFonts w:ascii="Arial" w:hAnsi="Arial" w:cs="Arial"/>
          <w:sz w:val="24"/>
          <w:szCs w:val="24"/>
        </w:rPr>
        <w:t xml:space="preserve"> a </w:t>
      </w:r>
      <w:proofErr w:type="spellStart"/>
      <w:proofErr w:type="gramStart"/>
      <w:r w:rsidR="006D3111" w:rsidRPr="00180E49">
        <w:rPr>
          <w:rFonts w:ascii="Arial" w:hAnsi="Arial" w:cs="Arial"/>
          <w:sz w:val="24"/>
          <w:szCs w:val="24"/>
        </w:rPr>
        <w:t>benzo</w:t>
      </w:r>
      <w:proofErr w:type="spellEnd"/>
      <w:r w:rsidR="006D3111" w:rsidRPr="00180E49">
        <w:rPr>
          <w:rFonts w:ascii="Arial" w:hAnsi="Arial" w:cs="Arial"/>
          <w:sz w:val="24"/>
          <w:szCs w:val="24"/>
        </w:rPr>
        <w:t>(a)</w:t>
      </w:r>
      <w:proofErr w:type="spellStart"/>
      <w:r w:rsidR="006D3111" w:rsidRPr="00180E49">
        <w:rPr>
          <w:rFonts w:ascii="Arial" w:hAnsi="Arial" w:cs="Arial"/>
          <w:sz w:val="24"/>
          <w:szCs w:val="24"/>
        </w:rPr>
        <w:t>pyrenu</w:t>
      </w:r>
      <w:proofErr w:type="spellEnd"/>
      <w:proofErr w:type="gramEnd"/>
      <w:r w:rsidR="006D3111" w:rsidRPr="00180E4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D3111" w:rsidRPr="00180E49">
        <w:rPr>
          <w:rFonts w:ascii="Arial" w:hAnsi="Arial" w:cs="Arial"/>
          <w:sz w:val="24"/>
          <w:szCs w:val="24"/>
        </w:rPr>
        <w:t>BaP</w:t>
      </w:r>
      <w:proofErr w:type="spellEnd"/>
      <w:r w:rsidR="006D3111" w:rsidRPr="00180E49">
        <w:rPr>
          <w:rFonts w:ascii="Arial" w:hAnsi="Arial" w:cs="Arial"/>
          <w:sz w:val="24"/>
          <w:szCs w:val="24"/>
        </w:rPr>
        <w:t>)</w:t>
      </w:r>
      <w:r w:rsidR="001522E5" w:rsidRPr="00180E49">
        <w:rPr>
          <w:rFonts w:ascii="Arial" w:hAnsi="Arial" w:cs="Arial"/>
          <w:sz w:val="24"/>
          <w:szCs w:val="24"/>
        </w:rPr>
        <w:t xml:space="preserve">, </w:t>
      </w:r>
      <w:r w:rsidR="006D3111" w:rsidRPr="00180E49">
        <w:rPr>
          <w:rFonts w:ascii="Arial" w:hAnsi="Arial" w:cs="Arial"/>
          <w:sz w:val="24"/>
          <w:szCs w:val="24"/>
        </w:rPr>
        <w:t>vznikajících převážně spalováním pevných paliv</w:t>
      </w:r>
      <w:r w:rsidR="001522E5" w:rsidRPr="00180E49">
        <w:rPr>
          <w:rFonts w:ascii="Arial" w:hAnsi="Arial" w:cs="Arial"/>
          <w:sz w:val="24"/>
          <w:szCs w:val="24"/>
        </w:rPr>
        <w:t>, popř. automobilovým provozem</w:t>
      </w:r>
      <w:r w:rsidR="006D3111" w:rsidRPr="00180E49">
        <w:rPr>
          <w:rFonts w:ascii="Arial" w:hAnsi="Arial" w:cs="Arial"/>
          <w:sz w:val="24"/>
          <w:szCs w:val="24"/>
        </w:rPr>
        <w:t xml:space="preserve">. </w:t>
      </w:r>
      <w:r w:rsidR="001522E5" w:rsidRPr="00180E49">
        <w:rPr>
          <w:rFonts w:ascii="Arial" w:hAnsi="Arial" w:cs="Arial"/>
          <w:sz w:val="24"/>
          <w:szCs w:val="24"/>
        </w:rPr>
        <w:t>Materiál svým celkovým zpracováním (názvem, argumenty, opatřeními, zhodnocením atd.) na základě extenzivního výkladu</w:t>
      </w:r>
      <w:r w:rsidR="00A06C79" w:rsidRPr="00180E49">
        <w:rPr>
          <w:rFonts w:ascii="Arial" w:hAnsi="Arial" w:cs="Arial"/>
          <w:sz w:val="24"/>
          <w:szCs w:val="24"/>
        </w:rPr>
        <w:t>,</w:t>
      </w:r>
      <w:r w:rsidR="001522E5" w:rsidRPr="00180E49">
        <w:rPr>
          <w:rFonts w:ascii="Arial" w:hAnsi="Arial" w:cs="Arial"/>
          <w:sz w:val="24"/>
          <w:szCs w:val="24"/>
        </w:rPr>
        <w:t xml:space="preserve"> navrhuje</w:t>
      </w:r>
      <w:r w:rsidR="001522E5">
        <w:rPr>
          <w:rFonts w:ascii="Arial" w:hAnsi="Arial" w:cs="Arial"/>
          <w:sz w:val="24"/>
          <w:szCs w:val="24"/>
        </w:rPr>
        <w:t xml:space="preserve"> zavedení uhlíkové daně u téměř všech běžných nosičů energie. Toto opatření</w:t>
      </w:r>
      <w:r w:rsidR="00A06C79">
        <w:rPr>
          <w:rFonts w:ascii="Arial" w:hAnsi="Arial" w:cs="Arial"/>
          <w:sz w:val="24"/>
          <w:szCs w:val="24"/>
        </w:rPr>
        <w:t xml:space="preserve">, cílí na </w:t>
      </w:r>
      <w:r w:rsidR="006D3111">
        <w:rPr>
          <w:rFonts w:ascii="Arial" w:hAnsi="Arial" w:cs="Arial"/>
          <w:sz w:val="24"/>
          <w:szCs w:val="24"/>
        </w:rPr>
        <w:lastRenderedPageBreak/>
        <w:t>eliminaci emisí uhlíku</w:t>
      </w:r>
      <w:r w:rsidR="00A06C79">
        <w:rPr>
          <w:rFonts w:ascii="Arial" w:hAnsi="Arial" w:cs="Arial"/>
          <w:sz w:val="24"/>
          <w:szCs w:val="24"/>
        </w:rPr>
        <w:t xml:space="preserve"> (CO</w:t>
      </w:r>
      <w:r w:rsidR="00A06C79" w:rsidRPr="00A06C79">
        <w:rPr>
          <w:rFonts w:ascii="Arial" w:hAnsi="Arial" w:cs="Arial"/>
          <w:sz w:val="24"/>
          <w:szCs w:val="24"/>
          <w:vertAlign w:val="subscript"/>
        </w:rPr>
        <w:t>2</w:t>
      </w:r>
      <w:r w:rsidR="00A06C79">
        <w:rPr>
          <w:rFonts w:ascii="Arial" w:hAnsi="Arial" w:cs="Arial"/>
          <w:sz w:val="24"/>
          <w:szCs w:val="24"/>
        </w:rPr>
        <w:t>)</w:t>
      </w:r>
      <w:r w:rsidR="006D3111">
        <w:rPr>
          <w:rFonts w:ascii="Arial" w:hAnsi="Arial" w:cs="Arial"/>
          <w:sz w:val="24"/>
          <w:szCs w:val="24"/>
        </w:rPr>
        <w:t xml:space="preserve">, tedy </w:t>
      </w:r>
      <w:r w:rsidR="00A06C79">
        <w:rPr>
          <w:rFonts w:ascii="Arial" w:hAnsi="Arial" w:cs="Arial"/>
          <w:sz w:val="24"/>
          <w:szCs w:val="24"/>
        </w:rPr>
        <w:t xml:space="preserve">obecně </w:t>
      </w:r>
      <w:r w:rsidR="006D3111">
        <w:rPr>
          <w:rFonts w:ascii="Arial" w:hAnsi="Arial" w:cs="Arial"/>
          <w:sz w:val="24"/>
          <w:szCs w:val="24"/>
        </w:rPr>
        <w:t>skleníkových plynů</w:t>
      </w:r>
      <w:r w:rsidR="00A06C79">
        <w:rPr>
          <w:rFonts w:ascii="Arial" w:hAnsi="Arial" w:cs="Arial"/>
          <w:sz w:val="24"/>
          <w:szCs w:val="24"/>
        </w:rPr>
        <w:t xml:space="preserve">, nikoliv na znečišťující látky zmiňované v opatření </w:t>
      </w:r>
      <w:r w:rsidR="00A06C79" w:rsidRPr="00A06C79">
        <w:rPr>
          <w:rFonts w:ascii="Arial" w:hAnsi="Arial" w:cs="Arial"/>
          <w:sz w:val="24"/>
          <w:szCs w:val="24"/>
        </w:rPr>
        <w:t>Národního programu snižování emisí ČR</w:t>
      </w:r>
      <w:r w:rsidR="00A06C79">
        <w:rPr>
          <w:rFonts w:ascii="Arial" w:hAnsi="Arial" w:cs="Arial"/>
          <w:sz w:val="24"/>
          <w:szCs w:val="24"/>
        </w:rPr>
        <w:t xml:space="preserve">, které </w:t>
      </w:r>
      <w:r w:rsidR="00A06C79" w:rsidRPr="00A06C79">
        <w:rPr>
          <w:rFonts w:ascii="Arial" w:hAnsi="Arial" w:cs="Arial"/>
          <w:sz w:val="24"/>
          <w:szCs w:val="24"/>
        </w:rPr>
        <w:t>mají výrazné negativní dopady na lidské zdraví</w:t>
      </w:r>
      <w:r w:rsidR="00A06C79">
        <w:rPr>
          <w:rFonts w:ascii="Arial" w:hAnsi="Arial" w:cs="Arial"/>
          <w:sz w:val="24"/>
          <w:szCs w:val="24"/>
        </w:rPr>
        <w:t>.</w:t>
      </w:r>
    </w:p>
    <w:p w:rsidR="009B68CA" w:rsidRPr="00044D07" w:rsidRDefault="00A06C79" w:rsidP="00D53643">
      <w:pPr>
        <w:spacing w:before="240" w:after="120"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Ad </w:t>
      </w:r>
      <w:r w:rsidR="009B68CA" w:rsidRPr="00044D07">
        <w:rPr>
          <w:rFonts w:ascii="Arial" w:hAnsi="Arial" w:cs="Arial"/>
          <w:b/>
          <w:sz w:val="24"/>
          <w:szCs w:val="24"/>
          <w:u w:val="single"/>
        </w:rPr>
        <w:t xml:space="preserve">C) </w:t>
      </w:r>
      <w:r>
        <w:rPr>
          <w:rFonts w:ascii="Arial" w:hAnsi="Arial" w:cs="Arial"/>
          <w:b/>
          <w:sz w:val="24"/>
          <w:szCs w:val="24"/>
          <w:u w:val="single"/>
        </w:rPr>
        <w:t xml:space="preserve">Chybná </w:t>
      </w:r>
      <w:r w:rsidR="00D53643">
        <w:rPr>
          <w:rFonts w:ascii="Arial" w:hAnsi="Arial" w:cs="Arial"/>
          <w:b/>
          <w:sz w:val="24"/>
          <w:szCs w:val="24"/>
          <w:u w:val="single"/>
        </w:rPr>
        <w:t>argumentace</w:t>
      </w:r>
      <w:r w:rsidRPr="00A06C7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založená na </w:t>
      </w:r>
      <w:r w:rsidR="00D53643">
        <w:rPr>
          <w:rFonts w:ascii="Arial" w:hAnsi="Arial" w:cs="Arial"/>
          <w:b/>
          <w:sz w:val="24"/>
          <w:szCs w:val="24"/>
          <w:u w:val="single"/>
        </w:rPr>
        <w:t>mylných</w:t>
      </w:r>
      <w:r w:rsidRPr="00A06C79">
        <w:rPr>
          <w:rFonts w:ascii="Arial" w:hAnsi="Arial" w:cs="Arial"/>
          <w:b/>
          <w:sz w:val="24"/>
          <w:szCs w:val="24"/>
          <w:u w:val="single"/>
        </w:rPr>
        <w:t xml:space="preserve"> domněnkách vzájemného konkurenčního postavení </w:t>
      </w:r>
      <w:r w:rsidR="00D53643">
        <w:rPr>
          <w:rFonts w:ascii="Arial" w:hAnsi="Arial" w:cs="Arial"/>
          <w:b/>
          <w:sz w:val="24"/>
          <w:szCs w:val="24"/>
          <w:u w:val="single"/>
        </w:rPr>
        <w:t xml:space="preserve">a podmínek pro </w:t>
      </w:r>
      <w:r w:rsidRPr="00A06C79">
        <w:rPr>
          <w:rFonts w:ascii="Arial" w:hAnsi="Arial" w:cs="Arial"/>
          <w:b/>
          <w:sz w:val="24"/>
          <w:szCs w:val="24"/>
          <w:u w:val="single"/>
        </w:rPr>
        <w:t>zařízení sp</w:t>
      </w:r>
      <w:r w:rsidR="00CE57A0">
        <w:rPr>
          <w:rFonts w:ascii="Arial" w:hAnsi="Arial" w:cs="Arial"/>
          <w:b/>
          <w:sz w:val="24"/>
          <w:szCs w:val="24"/>
          <w:u w:val="single"/>
        </w:rPr>
        <w:t>adajících pod EU ETS a mimo něj</w:t>
      </w:r>
    </w:p>
    <w:p w:rsidR="00D53643" w:rsidRPr="00D53643" w:rsidRDefault="007C6E65" w:rsidP="00D53643">
      <w:pPr>
        <w:spacing w:after="120" w:line="288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Materiál z </w:t>
      </w:r>
      <w:r w:rsidRPr="007C6E65">
        <w:rPr>
          <w:rFonts w:ascii="Arial" w:hAnsi="Arial" w:cs="Arial"/>
          <w:sz w:val="24"/>
          <w:szCs w:val="24"/>
        </w:rPr>
        <w:t>Národní</w:t>
      </w:r>
      <w:r w:rsidR="00670C9A">
        <w:rPr>
          <w:rFonts w:ascii="Arial" w:hAnsi="Arial" w:cs="Arial"/>
          <w:sz w:val="24"/>
          <w:szCs w:val="24"/>
        </w:rPr>
        <w:t>ho</w:t>
      </w:r>
      <w:r w:rsidRPr="007C6E65">
        <w:rPr>
          <w:rFonts w:ascii="Arial" w:hAnsi="Arial" w:cs="Arial"/>
          <w:sz w:val="24"/>
          <w:szCs w:val="24"/>
        </w:rPr>
        <w:t xml:space="preserve"> program</w:t>
      </w:r>
      <w:r w:rsidR="00670C9A">
        <w:rPr>
          <w:rFonts w:ascii="Arial" w:hAnsi="Arial" w:cs="Arial"/>
          <w:sz w:val="24"/>
          <w:szCs w:val="24"/>
        </w:rPr>
        <w:t>u</w:t>
      </w:r>
      <w:r w:rsidRPr="007C6E65">
        <w:rPr>
          <w:rFonts w:ascii="Arial" w:hAnsi="Arial" w:cs="Arial"/>
          <w:sz w:val="24"/>
          <w:szCs w:val="24"/>
        </w:rPr>
        <w:t xml:space="preserve"> snižování emisí ČR </w:t>
      </w:r>
      <w:r>
        <w:rPr>
          <w:rFonts w:ascii="Arial" w:hAnsi="Arial" w:cs="Arial"/>
          <w:sz w:val="24"/>
          <w:szCs w:val="24"/>
        </w:rPr>
        <w:t xml:space="preserve">cituje dílčí popis opatření </w:t>
      </w:r>
      <w:proofErr w:type="gramStart"/>
      <w:r>
        <w:rPr>
          <w:rFonts w:ascii="Arial" w:hAnsi="Arial" w:cs="Arial"/>
          <w:sz w:val="24"/>
          <w:szCs w:val="24"/>
        </w:rPr>
        <w:t>BA3: „..</w:t>
      </w:r>
      <w:r w:rsidRPr="00D53643">
        <w:rPr>
          <w:rFonts w:ascii="Arial" w:hAnsi="Arial" w:cs="Arial"/>
          <w:i/>
          <w:sz w:val="24"/>
          <w:szCs w:val="24"/>
        </w:rPr>
        <w:t>zavést</w:t>
      </w:r>
      <w:proofErr w:type="gramEnd"/>
      <w:r w:rsidRPr="00D53643">
        <w:rPr>
          <w:rFonts w:ascii="Arial" w:hAnsi="Arial" w:cs="Arial"/>
          <w:i/>
          <w:sz w:val="24"/>
          <w:szCs w:val="24"/>
        </w:rPr>
        <w:t xml:space="preserve"> zdanění fosilních paliv (zejména uhlí) v obdobné výši i pro zdroje nespadající pod EU ETS, čímž se zlepší konkurenceschopnost soustav zásobování tepelnou energií s</w:t>
      </w:r>
      <w:r w:rsidR="00555B57" w:rsidRPr="00D53643">
        <w:rPr>
          <w:rFonts w:ascii="Arial" w:hAnsi="Arial" w:cs="Arial"/>
          <w:i/>
          <w:sz w:val="24"/>
          <w:szCs w:val="24"/>
        </w:rPr>
        <w:t> </w:t>
      </w:r>
      <w:r w:rsidRPr="00D53643">
        <w:rPr>
          <w:rFonts w:ascii="Arial" w:hAnsi="Arial" w:cs="Arial"/>
          <w:i/>
          <w:sz w:val="24"/>
          <w:szCs w:val="24"/>
        </w:rPr>
        <w:t>kogenerační výrobou a sníží se vliv lokálních topenišť na kvalitu ovzduší</w:t>
      </w:r>
      <w:r w:rsidR="00CE57A0" w:rsidRPr="00D53643">
        <w:rPr>
          <w:rFonts w:ascii="Arial" w:hAnsi="Arial" w:cs="Arial"/>
          <w:i/>
          <w:sz w:val="24"/>
          <w:szCs w:val="24"/>
        </w:rPr>
        <w:t>.</w:t>
      </w:r>
      <w:r w:rsidR="00D53643">
        <w:rPr>
          <w:rFonts w:ascii="Arial" w:hAnsi="Arial" w:cs="Arial"/>
          <w:i/>
          <w:sz w:val="24"/>
          <w:szCs w:val="24"/>
        </w:rPr>
        <w:t>“</w:t>
      </w:r>
    </w:p>
    <w:p w:rsidR="00073F59" w:rsidRDefault="00071B2E" w:rsidP="00A83F0D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D53643">
        <w:rPr>
          <w:rFonts w:ascii="Arial" w:hAnsi="Arial" w:cs="Arial"/>
          <w:sz w:val="24"/>
          <w:szCs w:val="24"/>
        </w:rPr>
        <w:t xml:space="preserve">tomto </w:t>
      </w:r>
      <w:r>
        <w:rPr>
          <w:rFonts w:ascii="Arial" w:hAnsi="Arial" w:cs="Arial"/>
          <w:sz w:val="24"/>
          <w:szCs w:val="24"/>
        </w:rPr>
        <w:t xml:space="preserve">základě </w:t>
      </w:r>
      <w:r w:rsidR="00D53643">
        <w:rPr>
          <w:rFonts w:ascii="Arial" w:hAnsi="Arial" w:cs="Arial"/>
          <w:sz w:val="24"/>
          <w:szCs w:val="24"/>
        </w:rPr>
        <w:t>materiál vyvozuje, že by měly být především</w:t>
      </w:r>
      <w:r w:rsidRPr="00071B2E">
        <w:rPr>
          <w:rFonts w:ascii="Arial" w:hAnsi="Arial" w:cs="Arial"/>
          <w:sz w:val="24"/>
          <w:szCs w:val="24"/>
        </w:rPr>
        <w:t xml:space="preserve"> narovnány ekonomické podmínky centralizovaných a decentralizovaných zdrojů tepla, respektive zařízení spadajících pod EU-ETS a ostatních zařízení</w:t>
      </w:r>
      <w:r>
        <w:rPr>
          <w:rFonts w:ascii="Arial" w:hAnsi="Arial" w:cs="Arial"/>
          <w:sz w:val="24"/>
          <w:szCs w:val="24"/>
        </w:rPr>
        <w:t>“</w:t>
      </w:r>
      <w:r w:rsidR="00073F59">
        <w:rPr>
          <w:rFonts w:ascii="Arial" w:hAnsi="Arial" w:cs="Arial"/>
          <w:sz w:val="24"/>
          <w:szCs w:val="24"/>
        </w:rPr>
        <w:t xml:space="preserve"> a </w:t>
      </w:r>
      <w:r w:rsidR="00D53643">
        <w:rPr>
          <w:rFonts w:ascii="Arial" w:hAnsi="Arial" w:cs="Arial"/>
          <w:sz w:val="24"/>
          <w:szCs w:val="24"/>
        </w:rPr>
        <w:t>n</w:t>
      </w:r>
      <w:r w:rsidR="00073F59">
        <w:rPr>
          <w:rFonts w:ascii="Arial" w:hAnsi="Arial" w:cs="Arial"/>
          <w:sz w:val="24"/>
          <w:szCs w:val="24"/>
        </w:rPr>
        <w:t xml:space="preserve">astoluje </w:t>
      </w:r>
      <w:r w:rsidR="00D53643">
        <w:rPr>
          <w:rFonts w:ascii="Arial" w:hAnsi="Arial" w:cs="Arial"/>
          <w:sz w:val="24"/>
          <w:szCs w:val="24"/>
        </w:rPr>
        <w:t xml:space="preserve">tak </w:t>
      </w:r>
      <w:r w:rsidR="00073F59">
        <w:rPr>
          <w:rFonts w:ascii="Arial" w:hAnsi="Arial" w:cs="Arial"/>
          <w:sz w:val="24"/>
          <w:szCs w:val="24"/>
        </w:rPr>
        <w:t>dvě základní domněnky, které pak dále zkoumá a na jejichž základě formuluje závěry a návrhy opatření</w:t>
      </w:r>
      <w:r w:rsidR="00CE57A0">
        <w:rPr>
          <w:rFonts w:ascii="Arial" w:hAnsi="Arial" w:cs="Arial"/>
          <w:sz w:val="24"/>
          <w:szCs w:val="24"/>
        </w:rPr>
        <w:t>:</w:t>
      </w:r>
    </w:p>
    <w:p w:rsidR="00073F59" w:rsidRPr="00044D07" w:rsidRDefault="00073F59" w:rsidP="00DD511D">
      <w:pPr>
        <w:spacing w:before="60" w:after="6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44D07">
        <w:rPr>
          <w:rFonts w:ascii="Arial" w:hAnsi="Arial" w:cs="Arial"/>
          <w:sz w:val="24"/>
          <w:szCs w:val="24"/>
          <w:u w:val="single"/>
        </w:rPr>
        <w:t>1. Domněnk</w:t>
      </w:r>
      <w:r w:rsidR="00F60085">
        <w:rPr>
          <w:rFonts w:ascii="Arial" w:hAnsi="Arial" w:cs="Arial"/>
          <w:sz w:val="24"/>
          <w:szCs w:val="24"/>
          <w:u w:val="single"/>
        </w:rPr>
        <w:t>a</w:t>
      </w:r>
      <w:r w:rsidRPr="00044D07">
        <w:rPr>
          <w:rFonts w:ascii="Arial" w:hAnsi="Arial" w:cs="Arial"/>
          <w:sz w:val="24"/>
          <w:szCs w:val="24"/>
          <w:u w:val="single"/>
        </w:rPr>
        <w:t xml:space="preserve"> konkurenčního postavení zařízení spadajících pod EU ETS a mimo něj</w:t>
      </w:r>
    </w:p>
    <w:p w:rsidR="00DF7C72" w:rsidRDefault="00CE57A0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oblasti </w:t>
      </w:r>
      <w:r w:rsidR="00073F59">
        <w:rPr>
          <w:rFonts w:ascii="Arial" w:hAnsi="Arial" w:cs="Arial"/>
          <w:sz w:val="24"/>
          <w:szCs w:val="24"/>
        </w:rPr>
        <w:t>výroby tepla</w:t>
      </w:r>
      <w:r>
        <w:rPr>
          <w:rFonts w:ascii="Arial" w:hAnsi="Arial" w:cs="Arial"/>
          <w:sz w:val="24"/>
          <w:szCs w:val="24"/>
        </w:rPr>
        <w:t xml:space="preserve"> nemůže </w:t>
      </w:r>
      <w:r w:rsidR="00A95CC5">
        <w:rPr>
          <w:rFonts w:ascii="Arial" w:hAnsi="Arial" w:cs="Arial"/>
          <w:sz w:val="24"/>
          <w:szCs w:val="24"/>
        </w:rPr>
        <w:t xml:space="preserve">zavedení uhlíkové daně </w:t>
      </w:r>
      <w:r>
        <w:rPr>
          <w:rFonts w:ascii="Arial" w:hAnsi="Arial" w:cs="Arial"/>
          <w:sz w:val="24"/>
          <w:szCs w:val="24"/>
        </w:rPr>
        <w:t xml:space="preserve">zlepšit </w:t>
      </w:r>
      <w:r w:rsidR="00A95CC5">
        <w:rPr>
          <w:rFonts w:ascii="Arial" w:hAnsi="Arial" w:cs="Arial"/>
          <w:sz w:val="24"/>
          <w:szCs w:val="24"/>
        </w:rPr>
        <w:t>konkurenční postavení</w:t>
      </w:r>
      <w:r w:rsidR="002F2096">
        <w:rPr>
          <w:rFonts w:ascii="Arial" w:hAnsi="Arial" w:cs="Arial"/>
          <w:sz w:val="24"/>
          <w:szCs w:val="24"/>
        </w:rPr>
        <w:t xml:space="preserve"> centrálních systémů zásobování teplem</w:t>
      </w:r>
      <w:r>
        <w:rPr>
          <w:rFonts w:ascii="Arial" w:hAnsi="Arial" w:cs="Arial"/>
          <w:sz w:val="24"/>
          <w:szCs w:val="24"/>
        </w:rPr>
        <w:t>, protože l</w:t>
      </w:r>
      <w:r w:rsidR="00A95CC5">
        <w:rPr>
          <w:rFonts w:ascii="Arial" w:hAnsi="Arial" w:cs="Arial"/>
          <w:sz w:val="24"/>
          <w:szCs w:val="24"/>
        </w:rPr>
        <w:t>okální topeniště a</w:t>
      </w:r>
      <w:r>
        <w:rPr>
          <w:rFonts w:ascii="Arial" w:hAnsi="Arial" w:cs="Arial"/>
          <w:sz w:val="24"/>
          <w:szCs w:val="24"/>
        </w:rPr>
        <w:t>ni</w:t>
      </w:r>
      <w:r w:rsidR="00A95CC5">
        <w:rPr>
          <w:rFonts w:ascii="Arial" w:hAnsi="Arial" w:cs="Arial"/>
          <w:sz w:val="24"/>
          <w:szCs w:val="24"/>
        </w:rPr>
        <w:t xml:space="preserve"> malé zdroje systémů zásobování teplem nejsou, až na vybraná území s okrajovým dopadem, </w:t>
      </w:r>
      <w:r w:rsidR="002F2096">
        <w:rPr>
          <w:rFonts w:ascii="Arial" w:hAnsi="Arial" w:cs="Arial"/>
          <w:sz w:val="24"/>
          <w:szCs w:val="24"/>
        </w:rPr>
        <w:t xml:space="preserve">s těmito systémy </w:t>
      </w:r>
      <w:r>
        <w:rPr>
          <w:rFonts w:ascii="Arial" w:hAnsi="Arial" w:cs="Arial"/>
          <w:sz w:val="24"/>
          <w:szCs w:val="24"/>
        </w:rPr>
        <w:t>v přímém</w:t>
      </w:r>
      <w:r w:rsidR="00A95CC5">
        <w:rPr>
          <w:rFonts w:ascii="Arial" w:hAnsi="Arial" w:cs="Arial"/>
          <w:sz w:val="24"/>
          <w:szCs w:val="24"/>
        </w:rPr>
        <w:t> konkurenčním postavení. T</w:t>
      </w:r>
      <w:r w:rsidR="001D6005">
        <w:rPr>
          <w:rFonts w:ascii="Arial" w:hAnsi="Arial" w:cs="Arial"/>
          <w:sz w:val="24"/>
          <w:szCs w:val="24"/>
        </w:rPr>
        <w:t xml:space="preserve">ímto opatřením se ještě více ztíží podmínky pro </w:t>
      </w:r>
      <w:r w:rsidR="00A95CC5">
        <w:rPr>
          <w:rFonts w:ascii="Arial" w:hAnsi="Arial" w:cs="Arial"/>
          <w:sz w:val="24"/>
          <w:szCs w:val="24"/>
        </w:rPr>
        <w:t>existenci obyvatel ve venkovských a řídce osídlených oblastech</w:t>
      </w:r>
      <w:r w:rsidR="002F2096">
        <w:rPr>
          <w:rFonts w:ascii="Arial" w:hAnsi="Arial" w:cs="Arial"/>
          <w:sz w:val="24"/>
          <w:szCs w:val="24"/>
        </w:rPr>
        <w:t>. Znevýhodní i užití LPG, které nejen, že není systémům zásobování teplem konkurencí, ale v mnoha případech je jediným vhodným řešením pro vytápění, ale především pro přípravu pokrmů.</w:t>
      </w:r>
      <w:r w:rsidR="009140DC">
        <w:rPr>
          <w:rFonts w:ascii="Arial" w:hAnsi="Arial" w:cs="Arial"/>
          <w:sz w:val="24"/>
          <w:szCs w:val="24"/>
        </w:rPr>
        <w:t xml:space="preserve"> Pozitivní dopad zavedení uhlíkové daně </w:t>
      </w:r>
      <w:r w:rsidR="00DF7C72">
        <w:rPr>
          <w:rFonts w:ascii="Arial" w:hAnsi="Arial" w:cs="Arial"/>
          <w:sz w:val="24"/>
          <w:szCs w:val="24"/>
        </w:rPr>
        <w:t xml:space="preserve">u lokálních topenišť na </w:t>
      </w:r>
      <w:r w:rsidR="00DF7C72" w:rsidRPr="009140DC">
        <w:rPr>
          <w:rFonts w:ascii="Arial" w:hAnsi="Arial" w:cs="Arial"/>
          <w:sz w:val="24"/>
          <w:szCs w:val="24"/>
        </w:rPr>
        <w:t>kvalitu ovzduší</w:t>
      </w:r>
      <w:r w:rsidR="00DF7C72">
        <w:rPr>
          <w:rFonts w:ascii="Arial" w:hAnsi="Arial" w:cs="Arial"/>
          <w:sz w:val="24"/>
          <w:szCs w:val="24"/>
        </w:rPr>
        <w:t xml:space="preserve"> je rovněž diskutabilní. Zde se jako vhodné řešení </w:t>
      </w:r>
      <w:r>
        <w:rPr>
          <w:rFonts w:ascii="Arial" w:hAnsi="Arial" w:cs="Arial"/>
          <w:sz w:val="24"/>
          <w:szCs w:val="24"/>
        </w:rPr>
        <w:t xml:space="preserve">jeví </w:t>
      </w:r>
      <w:r w:rsidR="00DF7C72">
        <w:rPr>
          <w:rFonts w:ascii="Arial" w:hAnsi="Arial" w:cs="Arial"/>
          <w:sz w:val="24"/>
          <w:szCs w:val="24"/>
        </w:rPr>
        <w:t>probíhající program na obměnu zdrojů tepla tzv. kotlíkové dotace. Kogenerační zdroje splňující podmínky minimální účinnosti jsou již nyní podpořené v rámci státní dotační politiky zelenými bonusy a zvýhodněnými výkupními cenami elektřiny.</w:t>
      </w:r>
    </w:p>
    <w:p w:rsidR="008931AF" w:rsidRPr="00044D07" w:rsidRDefault="008931AF" w:rsidP="00DD511D">
      <w:pPr>
        <w:spacing w:before="120" w:after="6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44D07">
        <w:rPr>
          <w:rFonts w:ascii="Arial" w:hAnsi="Arial" w:cs="Arial"/>
          <w:sz w:val="24"/>
          <w:szCs w:val="24"/>
          <w:u w:val="single"/>
        </w:rPr>
        <w:t>2. Domněnk</w:t>
      </w:r>
      <w:r w:rsidR="00F60085">
        <w:rPr>
          <w:rFonts w:ascii="Arial" w:hAnsi="Arial" w:cs="Arial"/>
          <w:sz w:val="24"/>
          <w:szCs w:val="24"/>
          <w:u w:val="single"/>
        </w:rPr>
        <w:t>a</w:t>
      </w:r>
      <w:r w:rsidRPr="00044D07">
        <w:rPr>
          <w:rFonts w:ascii="Arial" w:hAnsi="Arial" w:cs="Arial"/>
          <w:sz w:val="24"/>
          <w:szCs w:val="24"/>
          <w:u w:val="single"/>
        </w:rPr>
        <w:t xml:space="preserve"> nespravedlivě nastavených podmínek pro zařízení spadajících pod EU ETS a mimo něj</w:t>
      </w:r>
    </w:p>
    <w:p w:rsidR="002B4A53" w:rsidRDefault="00170C55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Historickým vývojem byly na úrovni EU pro každou z kategorií </w:t>
      </w:r>
      <w:r w:rsidRPr="00170C55">
        <w:rPr>
          <w:rFonts w:ascii="Arial" w:hAnsi="Arial" w:cs="Arial"/>
          <w:sz w:val="24"/>
          <w:szCs w:val="24"/>
        </w:rPr>
        <w:t xml:space="preserve">zvoleny rozdílné přístupy. </w:t>
      </w:r>
      <w:r w:rsidR="004F1F96">
        <w:rPr>
          <w:rFonts w:ascii="Arial" w:hAnsi="Arial" w:cs="Arial"/>
          <w:sz w:val="24"/>
          <w:szCs w:val="24"/>
        </w:rPr>
        <w:t xml:space="preserve">V případě výroby tepla byl u </w:t>
      </w:r>
      <w:r w:rsidRPr="00170C55">
        <w:rPr>
          <w:rFonts w:ascii="Arial" w:hAnsi="Arial" w:cs="Arial"/>
          <w:sz w:val="24"/>
          <w:szCs w:val="24"/>
        </w:rPr>
        <w:t xml:space="preserve">velkých spalovacích </w:t>
      </w:r>
      <w:r w:rsidR="004F1F96">
        <w:rPr>
          <w:rFonts w:ascii="Arial" w:hAnsi="Arial" w:cs="Arial"/>
          <w:sz w:val="24"/>
          <w:szCs w:val="24"/>
        </w:rPr>
        <w:t>zařízení</w:t>
      </w:r>
      <w:r w:rsidRPr="00170C55">
        <w:rPr>
          <w:rFonts w:ascii="Arial" w:hAnsi="Arial" w:cs="Arial"/>
          <w:sz w:val="24"/>
          <w:szCs w:val="24"/>
        </w:rPr>
        <w:t xml:space="preserve"> zvolen systém EU ETS, který měl motivovat ke zlepšování emisních parametrů</w:t>
      </w:r>
      <w:r w:rsidR="004F1F96">
        <w:rPr>
          <w:rFonts w:ascii="Arial" w:hAnsi="Arial" w:cs="Arial"/>
          <w:sz w:val="24"/>
          <w:szCs w:val="24"/>
        </w:rPr>
        <w:t xml:space="preserve"> zdroje</w:t>
      </w:r>
      <w:r w:rsidRPr="00170C55">
        <w:rPr>
          <w:rFonts w:ascii="Arial" w:hAnsi="Arial" w:cs="Arial"/>
          <w:sz w:val="24"/>
          <w:szCs w:val="24"/>
        </w:rPr>
        <w:t>. Měl poskytnout možnost volby mezi okamžitou investicí do rekonstrukce z</w:t>
      </w:r>
      <w:r>
        <w:rPr>
          <w:rFonts w:ascii="Arial" w:hAnsi="Arial" w:cs="Arial"/>
          <w:sz w:val="24"/>
          <w:szCs w:val="24"/>
        </w:rPr>
        <w:t>ařízení</w:t>
      </w:r>
      <w:r w:rsidR="004F1F96">
        <w:rPr>
          <w:rFonts w:ascii="Arial" w:hAnsi="Arial" w:cs="Arial"/>
          <w:sz w:val="24"/>
          <w:szCs w:val="24"/>
        </w:rPr>
        <w:t>,</w:t>
      </w:r>
      <w:r w:rsidRPr="00170C55">
        <w:rPr>
          <w:rFonts w:ascii="Arial" w:hAnsi="Arial" w:cs="Arial"/>
          <w:sz w:val="24"/>
          <w:szCs w:val="24"/>
        </w:rPr>
        <w:t xml:space="preserve"> a</w:t>
      </w:r>
      <w:r w:rsidR="004F1F96">
        <w:rPr>
          <w:rFonts w:ascii="Arial" w:hAnsi="Arial" w:cs="Arial"/>
          <w:sz w:val="24"/>
          <w:szCs w:val="24"/>
        </w:rPr>
        <w:t> </w:t>
      </w:r>
      <w:r w:rsidRPr="00170C55">
        <w:rPr>
          <w:rFonts w:ascii="Arial" w:hAnsi="Arial" w:cs="Arial"/>
          <w:sz w:val="24"/>
          <w:szCs w:val="24"/>
        </w:rPr>
        <w:t>z</w:t>
      </w:r>
      <w:r w:rsidR="004F1F96">
        <w:rPr>
          <w:rFonts w:ascii="Arial" w:hAnsi="Arial" w:cs="Arial"/>
          <w:sz w:val="24"/>
          <w:szCs w:val="24"/>
        </w:rPr>
        <w:t> </w:t>
      </w:r>
      <w:r w:rsidRPr="00170C55">
        <w:rPr>
          <w:rFonts w:ascii="Arial" w:hAnsi="Arial" w:cs="Arial"/>
          <w:sz w:val="24"/>
          <w:szCs w:val="24"/>
        </w:rPr>
        <w:t>toh</w:t>
      </w:r>
      <w:r w:rsidR="00555B57">
        <w:rPr>
          <w:rFonts w:ascii="Arial" w:hAnsi="Arial" w:cs="Arial"/>
          <w:sz w:val="24"/>
          <w:szCs w:val="24"/>
        </w:rPr>
        <w:t>o plynoucích provozních úspor v</w:t>
      </w:r>
      <w:r w:rsidR="00F60085">
        <w:rPr>
          <w:rFonts w:ascii="Arial" w:hAnsi="Arial" w:cs="Arial"/>
          <w:sz w:val="24"/>
          <w:szCs w:val="24"/>
        </w:rPr>
        <w:t> </w:t>
      </w:r>
      <w:r w:rsidRPr="00170C55">
        <w:rPr>
          <w:rFonts w:ascii="Arial" w:hAnsi="Arial" w:cs="Arial"/>
          <w:sz w:val="24"/>
          <w:szCs w:val="24"/>
        </w:rPr>
        <w:t>budoucnu</w:t>
      </w:r>
      <w:r w:rsidR="00F60085">
        <w:rPr>
          <w:rFonts w:ascii="Arial" w:hAnsi="Arial" w:cs="Arial"/>
          <w:sz w:val="24"/>
          <w:szCs w:val="24"/>
        </w:rPr>
        <w:t>,</w:t>
      </w:r>
      <w:r w:rsidRPr="00170C55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mezi </w:t>
      </w:r>
      <w:r w:rsidRPr="00170C55">
        <w:rPr>
          <w:rFonts w:ascii="Arial" w:hAnsi="Arial" w:cs="Arial"/>
          <w:sz w:val="24"/>
          <w:szCs w:val="24"/>
        </w:rPr>
        <w:t xml:space="preserve">odkladem nezbytné investice </w:t>
      </w:r>
      <w:r>
        <w:rPr>
          <w:rFonts w:ascii="Arial" w:hAnsi="Arial" w:cs="Arial"/>
          <w:sz w:val="24"/>
          <w:szCs w:val="24"/>
        </w:rPr>
        <w:t>do rekonstrukce nevyhovujícího z</w:t>
      </w:r>
      <w:r w:rsidR="004F1F96">
        <w:rPr>
          <w:rFonts w:ascii="Arial" w:hAnsi="Arial" w:cs="Arial"/>
          <w:sz w:val="24"/>
          <w:szCs w:val="24"/>
        </w:rPr>
        <w:t>droje</w:t>
      </w:r>
      <w:r>
        <w:rPr>
          <w:rFonts w:ascii="Arial" w:hAnsi="Arial" w:cs="Arial"/>
          <w:sz w:val="24"/>
          <w:szCs w:val="24"/>
        </w:rPr>
        <w:t xml:space="preserve"> a</w:t>
      </w:r>
      <w:r w:rsidR="00555B57">
        <w:rPr>
          <w:rFonts w:ascii="Arial" w:hAnsi="Arial" w:cs="Arial"/>
          <w:sz w:val="24"/>
          <w:szCs w:val="24"/>
        </w:rPr>
        <w:t> </w:t>
      </w:r>
      <w:r w:rsidR="004F1F96">
        <w:rPr>
          <w:rFonts w:ascii="Arial" w:hAnsi="Arial" w:cs="Arial"/>
          <w:sz w:val="24"/>
          <w:szCs w:val="24"/>
        </w:rPr>
        <w:t>postupným zí</w:t>
      </w:r>
      <w:r>
        <w:rPr>
          <w:rFonts w:ascii="Arial" w:hAnsi="Arial" w:cs="Arial"/>
          <w:sz w:val="24"/>
          <w:szCs w:val="24"/>
        </w:rPr>
        <w:t xml:space="preserve">skáním prostředků během podmíněného </w:t>
      </w:r>
      <w:r w:rsidRPr="00170C55">
        <w:rPr>
          <w:rFonts w:ascii="Arial" w:hAnsi="Arial" w:cs="Arial"/>
          <w:sz w:val="24"/>
          <w:szCs w:val="24"/>
        </w:rPr>
        <w:t>prodloužení provozu</w:t>
      </w:r>
      <w:r>
        <w:rPr>
          <w:rFonts w:ascii="Arial" w:hAnsi="Arial" w:cs="Arial"/>
          <w:sz w:val="24"/>
          <w:szCs w:val="24"/>
        </w:rPr>
        <w:t xml:space="preserve">. </w:t>
      </w:r>
      <w:r w:rsidRPr="00170C55">
        <w:rPr>
          <w:rFonts w:ascii="Arial" w:hAnsi="Arial" w:cs="Arial"/>
          <w:sz w:val="24"/>
          <w:szCs w:val="24"/>
        </w:rPr>
        <w:t>K dosažení tohoto scénáře měl a má systém EU ETS</w:t>
      </w:r>
      <w:r>
        <w:rPr>
          <w:rFonts w:ascii="Arial" w:hAnsi="Arial" w:cs="Arial"/>
          <w:sz w:val="24"/>
          <w:szCs w:val="24"/>
        </w:rPr>
        <w:t xml:space="preserve"> řadu motivačních nástrojů</w:t>
      </w:r>
      <w:r w:rsidRPr="00170C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jak</w:t>
      </w:r>
      <w:r w:rsidR="004F1F96">
        <w:rPr>
          <w:rFonts w:ascii="Arial" w:hAnsi="Arial" w:cs="Arial"/>
          <w:sz w:val="24"/>
          <w:szCs w:val="24"/>
        </w:rPr>
        <w:t xml:space="preserve">o </w:t>
      </w:r>
      <w:r w:rsidR="0049332E">
        <w:rPr>
          <w:rFonts w:ascii="Arial" w:hAnsi="Arial" w:cs="Arial"/>
          <w:sz w:val="24"/>
          <w:szCs w:val="24"/>
        </w:rPr>
        <w:t xml:space="preserve">bezplatné </w:t>
      </w:r>
      <w:r w:rsidRPr="00170C55">
        <w:rPr>
          <w:rFonts w:ascii="Arial" w:hAnsi="Arial" w:cs="Arial"/>
          <w:sz w:val="24"/>
          <w:szCs w:val="24"/>
        </w:rPr>
        <w:t>přidělování povolenek, modernizační fond, přechodn</w:t>
      </w:r>
      <w:r w:rsidR="0049332E">
        <w:rPr>
          <w:rFonts w:ascii="Arial" w:hAnsi="Arial" w:cs="Arial"/>
          <w:sz w:val="24"/>
          <w:szCs w:val="24"/>
        </w:rPr>
        <w:t>é</w:t>
      </w:r>
      <w:r w:rsidRPr="00170C55">
        <w:rPr>
          <w:rFonts w:ascii="Arial" w:hAnsi="Arial" w:cs="Arial"/>
          <w:sz w:val="24"/>
          <w:szCs w:val="24"/>
        </w:rPr>
        <w:t xml:space="preserve"> režim</w:t>
      </w:r>
      <w:r w:rsidR="0049332E">
        <w:rPr>
          <w:rFonts w:ascii="Arial" w:hAnsi="Arial" w:cs="Arial"/>
          <w:sz w:val="24"/>
          <w:szCs w:val="24"/>
        </w:rPr>
        <w:t>y</w:t>
      </w:r>
      <w:r w:rsidRPr="00170C55">
        <w:rPr>
          <w:rFonts w:ascii="Arial" w:hAnsi="Arial" w:cs="Arial"/>
          <w:sz w:val="24"/>
          <w:szCs w:val="24"/>
        </w:rPr>
        <w:t xml:space="preserve">, </w:t>
      </w:r>
      <w:r w:rsidR="0049332E">
        <w:rPr>
          <w:rFonts w:ascii="Arial" w:hAnsi="Arial" w:cs="Arial"/>
          <w:sz w:val="24"/>
          <w:szCs w:val="24"/>
        </w:rPr>
        <w:t xml:space="preserve">opravné </w:t>
      </w:r>
      <w:r w:rsidRPr="00170C55">
        <w:rPr>
          <w:rFonts w:ascii="Arial" w:hAnsi="Arial" w:cs="Arial"/>
          <w:sz w:val="24"/>
          <w:szCs w:val="24"/>
        </w:rPr>
        <w:t>koeficient</w:t>
      </w:r>
      <w:r w:rsidR="0049332E">
        <w:rPr>
          <w:rFonts w:ascii="Arial" w:hAnsi="Arial" w:cs="Arial"/>
          <w:sz w:val="24"/>
          <w:szCs w:val="24"/>
        </w:rPr>
        <w:t>y</w:t>
      </w:r>
      <w:r w:rsidRPr="00170C55">
        <w:rPr>
          <w:rFonts w:ascii="Arial" w:hAnsi="Arial" w:cs="Arial"/>
          <w:sz w:val="24"/>
          <w:szCs w:val="24"/>
        </w:rPr>
        <w:t xml:space="preserve"> apod. </w:t>
      </w:r>
      <w:r w:rsidR="0049332E">
        <w:rPr>
          <w:rFonts w:ascii="Arial" w:hAnsi="Arial" w:cs="Arial"/>
          <w:sz w:val="24"/>
          <w:szCs w:val="24"/>
        </w:rPr>
        <w:t xml:space="preserve">Robustnost těchto nástrojů ilustruje vývoj ceny emisních povolenek v průběhu existence EU ETS, která bohužel i dokládá, že výhodnější volbou bylo permanentní odkládání investice do zlepšení emisních parametrů </w:t>
      </w:r>
      <w:r w:rsidR="004F1F96">
        <w:rPr>
          <w:rFonts w:ascii="Arial" w:hAnsi="Arial" w:cs="Arial"/>
          <w:sz w:val="24"/>
          <w:szCs w:val="24"/>
        </w:rPr>
        <w:t xml:space="preserve">daného </w:t>
      </w:r>
      <w:r w:rsidR="0049332E">
        <w:rPr>
          <w:rFonts w:ascii="Arial" w:hAnsi="Arial" w:cs="Arial"/>
          <w:sz w:val="24"/>
          <w:szCs w:val="24"/>
        </w:rPr>
        <w:t>zařízení.</w:t>
      </w:r>
      <w:r w:rsidR="00DE6153">
        <w:rPr>
          <w:rFonts w:ascii="Arial" w:hAnsi="Arial" w:cs="Arial"/>
          <w:sz w:val="24"/>
          <w:szCs w:val="24"/>
        </w:rPr>
        <w:t xml:space="preserve"> Z pohledu dopadů na </w:t>
      </w:r>
      <w:r w:rsidR="00DE6153">
        <w:rPr>
          <w:rFonts w:ascii="Arial" w:hAnsi="Arial" w:cs="Arial"/>
          <w:sz w:val="24"/>
          <w:szCs w:val="24"/>
        </w:rPr>
        <w:lastRenderedPageBreak/>
        <w:t xml:space="preserve">konkurenceschopnost jednotlivých zařízení spadajících pod EU ETS, by byl jistě </w:t>
      </w:r>
      <w:r w:rsidR="00C055C3">
        <w:rPr>
          <w:rFonts w:ascii="Arial" w:hAnsi="Arial" w:cs="Arial"/>
          <w:sz w:val="24"/>
          <w:szCs w:val="24"/>
        </w:rPr>
        <w:t xml:space="preserve">rovněž </w:t>
      </w:r>
      <w:r w:rsidR="00DE6153">
        <w:rPr>
          <w:rFonts w:ascii="Arial" w:hAnsi="Arial" w:cs="Arial"/>
          <w:sz w:val="24"/>
          <w:szCs w:val="24"/>
        </w:rPr>
        <w:t>zajímavý rozbor nákladů vynaložených na nákup (a prodej) emisních povolenek u</w:t>
      </w:r>
      <w:r w:rsidR="000F4E1B">
        <w:rPr>
          <w:rFonts w:ascii="Arial" w:hAnsi="Arial" w:cs="Arial"/>
          <w:sz w:val="24"/>
          <w:szCs w:val="24"/>
        </w:rPr>
        <w:t> </w:t>
      </w:r>
      <w:r w:rsidR="00DE6153">
        <w:rPr>
          <w:rFonts w:ascii="Arial" w:hAnsi="Arial" w:cs="Arial"/>
          <w:sz w:val="24"/>
          <w:szCs w:val="24"/>
        </w:rPr>
        <w:t>jednotlivých zařízení v ČR.</w:t>
      </w:r>
    </w:p>
    <w:p w:rsidR="00C055C3" w:rsidRDefault="00170C55" w:rsidP="00C055C3">
      <w:pPr>
        <w:spacing w:before="120" w:after="120" w:line="288" w:lineRule="auto"/>
        <w:jc w:val="both"/>
        <w:rPr>
          <w:rFonts w:ascii="Arial" w:hAnsi="Arial" w:cs="Arial"/>
          <w:sz w:val="24"/>
          <w:szCs w:val="24"/>
        </w:rPr>
      </w:pPr>
      <w:r w:rsidRPr="00170C55">
        <w:rPr>
          <w:rFonts w:ascii="Arial" w:hAnsi="Arial" w:cs="Arial"/>
          <w:sz w:val="24"/>
          <w:szCs w:val="24"/>
        </w:rPr>
        <w:t xml:space="preserve">V případě malých a středních zdrojů docházelo </w:t>
      </w:r>
      <w:r w:rsidR="00F60085">
        <w:rPr>
          <w:rFonts w:ascii="Arial" w:hAnsi="Arial" w:cs="Arial"/>
          <w:sz w:val="24"/>
          <w:szCs w:val="24"/>
        </w:rPr>
        <w:t xml:space="preserve">během </w:t>
      </w:r>
      <w:r w:rsidRPr="00170C55">
        <w:rPr>
          <w:rFonts w:ascii="Arial" w:hAnsi="Arial" w:cs="Arial"/>
          <w:sz w:val="24"/>
          <w:szCs w:val="24"/>
        </w:rPr>
        <w:t>uply</w:t>
      </w:r>
      <w:r w:rsidR="0049332E">
        <w:rPr>
          <w:rFonts w:ascii="Arial" w:hAnsi="Arial" w:cs="Arial"/>
          <w:sz w:val="24"/>
          <w:szCs w:val="24"/>
        </w:rPr>
        <w:t>nulých let k </w:t>
      </w:r>
      <w:r w:rsidRPr="00170C55">
        <w:rPr>
          <w:rFonts w:ascii="Arial" w:hAnsi="Arial" w:cs="Arial"/>
          <w:sz w:val="24"/>
          <w:szCs w:val="24"/>
        </w:rPr>
        <w:t xml:space="preserve">průběžnému zpřísňování emisních limitů a </w:t>
      </w:r>
      <w:r w:rsidR="004F1F96">
        <w:rPr>
          <w:rFonts w:ascii="Arial" w:hAnsi="Arial" w:cs="Arial"/>
          <w:sz w:val="24"/>
          <w:szCs w:val="24"/>
        </w:rPr>
        <w:t xml:space="preserve">minimální </w:t>
      </w:r>
      <w:r w:rsidRPr="00170C55">
        <w:rPr>
          <w:rFonts w:ascii="Arial" w:hAnsi="Arial" w:cs="Arial"/>
          <w:sz w:val="24"/>
          <w:szCs w:val="24"/>
        </w:rPr>
        <w:t>účinnosti (</w:t>
      </w:r>
      <w:r w:rsidR="0049332E">
        <w:rPr>
          <w:rFonts w:ascii="Arial" w:hAnsi="Arial" w:cs="Arial"/>
          <w:sz w:val="24"/>
          <w:szCs w:val="24"/>
        </w:rPr>
        <w:t>směrnice o</w:t>
      </w:r>
      <w:r w:rsidR="004F1F96">
        <w:rPr>
          <w:rFonts w:ascii="Arial" w:hAnsi="Arial" w:cs="Arial"/>
          <w:sz w:val="24"/>
          <w:szCs w:val="24"/>
        </w:rPr>
        <w:t> </w:t>
      </w:r>
      <w:proofErr w:type="spellStart"/>
      <w:r w:rsidR="0049332E">
        <w:rPr>
          <w:rFonts w:ascii="Arial" w:hAnsi="Arial" w:cs="Arial"/>
          <w:sz w:val="24"/>
          <w:szCs w:val="24"/>
        </w:rPr>
        <w:t>ekodesignu</w:t>
      </w:r>
      <w:proofErr w:type="spellEnd"/>
      <w:r w:rsidR="0049332E">
        <w:rPr>
          <w:rFonts w:ascii="Arial" w:hAnsi="Arial" w:cs="Arial"/>
          <w:sz w:val="24"/>
          <w:szCs w:val="24"/>
        </w:rPr>
        <w:t xml:space="preserve">, o energetických štítcích, </w:t>
      </w:r>
      <w:r w:rsidR="004F1F96">
        <w:rPr>
          <w:rFonts w:ascii="Arial" w:hAnsi="Arial" w:cs="Arial"/>
          <w:sz w:val="24"/>
          <w:szCs w:val="24"/>
        </w:rPr>
        <w:t>o </w:t>
      </w:r>
      <w:r w:rsidRPr="00170C55">
        <w:rPr>
          <w:rFonts w:ascii="Arial" w:hAnsi="Arial" w:cs="Arial"/>
          <w:sz w:val="24"/>
          <w:szCs w:val="24"/>
        </w:rPr>
        <w:t xml:space="preserve">středních spalovacích zdrojích). Plnění hlavních cílů, snížení emisí a zvýšení účinnosti, bylo </w:t>
      </w:r>
      <w:r w:rsidR="0049332E">
        <w:rPr>
          <w:rFonts w:ascii="Arial" w:hAnsi="Arial" w:cs="Arial"/>
          <w:sz w:val="24"/>
          <w:szCs w:val="24"/>
        </w:rPr>
        <w:t>podobně jako v automobilovém průmyslu</w:t>
      </w:r>
      <w:r w:rsidR="004F1F96">
        <w:rPr>
          <w:rFonts w:ascii="Arial" w:hAnsi="Arial" w:cs="Arial"/>
          <w:sz w:val="24"/>
          <w:szCs w:val="24"/>
        </w:rPr>
        <w:t>,</w:t>
      </w:r>
      <w:r w:rsidR="0049332E">
        <w:rPr>
          <w:rFonts w:ascii="Arial" w:hAnsi="Arial" w:cs="Arial"/>
          <w:sz w:val="24"/>
          <w:szCs w:val="24"/>
        </w:rPr>
        <w:t xml:space="preserve"> </w:t>
      </w:r>
      <w:r w:rsidRPr="00170C55">
        <w:rPr>
          <w:rFonts w:ascii="Arial" w:hAnsi="Arial" w:cs="Arial"/>
          <w:sz w:val="24"/>
          <w:szCs w:val="24"/>
        </w:rPr>
        <w:t>přeneseno na výrobce zařízení. Vývoj zařízení plnících požadované parametry (nezřídka na hranici technických možností) nebyl zadarmo a výrobci těchto zařízení je zohledňují v poř</w:t>
      </w:r>
      <w:r w:rsidR="00555B57">
        <w:rPr>
          <w:rFonts w:ascii="Arial" w:hAnsi="Arial" w:cs="Arial"/>
          <w:sz w:val="24"/>
          <w:szCs w:val="24"/>
        </w:rPr>
        <w:t>izovací ceně. Uživatel malých a </w:t>
      </w:r>
      <w:r w:rsidRPr="00170C55">
        <w:rPr>
          <w:rFonts w:ascii="Arial" w:hAnsi="Arial" w:cs="Arial"/>
          <w:sz w:val="24"/>
          <w:szCs w:val="24"/>
        </w:rPr>
        <w:t xml:space="preserve">středních zdrojů </w:t>
      </w:r>
      <w:r w:rsidR="004F1F96">
        <w:rPr>
          <w:rFonts w:ascii="Arial" w:hAnsi="Arial" w:cs="Arial"/>
          <w:sz w:val="24"/>
          <w:szCs w:val="24"/>
        </w:rPr>
        <w:t xml:space="preserve">tak </w:t>
      </w:r>
      <w:r w:rsidRPr="00170C55">
        <w:rPr>
          <w:rFonts w:ascii="Arial" w:hAnsi="Arial" w:cs="Arial"/>
          <w:sz w:val="24"/>
          <w:szCs w:val="24"/>
        </w:rPr>
        <w:t xml:space="preserve">nemá </w:t>
      </w:r>
      <w:r w:rsidR="0049332E" w:rsidRPr="004F1F96">
        <w:rPr>
          <w:rFonts w:ascii="Arial" w:hAnsi="Arial" w:cs="Arial"/>
          <w:sz w:val="24"/>
          <w:szCs w:val="24"/>
        </w:rPr>
        <w:t xml:space="preserve">v současnosti </w:t>
      </w:r>
      <w:r w:rsidRPr="004F1F96">
        <w:rPr>
          <w:rFonts w:ascii="Arial" w:hAnsi="Arial" w:cs="Arial"/>
          <w:sz w:val="24"/>
          <w:szCs w:val="24"/>
        </w:rPr>
        <w:t>možno</w:t>
      </w:r>
      <w:r w:rsidR="00555B57">
        <w:rPr>
          <w:rFonts w:ascii="Arial" w:hAnsi="Arial" w:cs="Arial"/>
          <w:sz w:val="24"/>
          <w:szCs w:val="24"/>
        </w:rPr>
        <w:t>st pořídit nevyhovující zdroj a </w:t>
      </w:r>
      <w:r w:rsidRPr="004F1F96">
        <w:rPr>
          <w:rFonts w:ascii="Arial" w:hAnsi="Arial" w:cs="Arial"/>
          <w:sz w:val="24"/>
          <w:szCs w:val="24"/>
        </w:rPr>
        <w:t>okamžikem jeho koupě a</w:t>
      </w:r>
      <w:r w:rsidR="0049332E" w:rsidRPr="004F1F96">
        <w:rPr>
          <w:rFonts w:ascii="Arial" w:hAnsi="Arial" w:cs="Arial"/>
          <w:sz w:val="24"/>
          <w:szCs w:val="24"/>
        </w:rPr>
        <w:t> </w:t>
      </w:r>
      <w:r w:rsidRPr="004F1F96">
        <w:rPr>
          <w:rFonts w:ascii="Arial" w:hAnsi="Arial" w:cs="Arial"/>
          <w:sz w:val="24"/>
          <w:szCs w:val="24"/>
        </w:rPr>
        <w:t xml:space="preserve">uvedením do provozu </w:t>
      </w:r>
      <w:r w:rsidR="0049332E" w:rsidRPr="004F1F96">
        <w:rPr>
          <w:rFonts w:ascii="Arial" w:hAnsi="Arial" w:cs="Arial"/>
          <w:sz w:val="24"/>
          <w:szCs w:val="24"/>
        </w:rPr>
        <w:t xml:space="preserve">tak </w:t>
      </w:r>
      <w:r w:rsidR="00430715">
        <w:rPr>
          <w:rFonts w:ascii="Arial" w:hAnsi="Arial" w:cs="Arial"/>
          <w:sz w:val="24"/>
          <w:szCs w:val="24"/>
        </w:rPr>
        <w:t xml:space="preserve">ihned </w:t>
      </w:r>
      <w:r w:rsidR="002B4A53">
        <w:rPr>
          <w:rFonts w:ascii="Arial" w:hAnsi="Arial" w:cs="Arial"/>
          <w:sz w:val="24"/>
          <w:szCs w:val="24"/>
        </w:rPr>
        <w:t>pl</w:t>
      </w:r>
      <w:r w:rsidR="00F60085">
        <w:rPr>
          <w:rFonts w:ascii="Arial" w:hAnsi="Arial" w:cs="Arial"/>
          <w:sz w:val="24"/>
          <w:szCs w:val="24"/>
        </w:rPr>
        <w:t>ní</w:t>
      </w:r>
      <w:r w:rsidRPr="004F1F96">
        <w:rPr>
          <w:rFonts w:ascii="Arial" w:hAnsi="Arial" w:cs="Arial"/>
          <w:sz w:val="24"/>
          <w:szCs w:val="24"/>
        </w:rPr>
        <w:t xml:space="preserve"> nejpřísnější limity</w:t>
      </w:r>
      <w:r w:rsidR="0049332E" w:rsidRPr="004F1F96">
        <w:rPr>
          <w:rFonts w:ascii="Arial" w:hAnsi="Arial" w:cs="Arial"/>
          <w:sz w:val="24"/>
          <w:szCs w:val="24"/>
        </w:rPr>
        <w:t xml:space="preserve"> emisí </w:t>
      </w:r>
      <w:r w:rsidR="004F1F96">
        <w:rPr>
          <w:rFonts w:ascii="Arial" w:hAnsi="Arial" w:cs="Arial"/>
          <w:sz w:val="24"/>
          <w:szCs w:val="24"/>
        </w:rPr>
        <w:t>i</w:t>
      </w:r>
      <w:r w:rsidR="005D507B">
        <w:rPr>
          <w:rFonts w:ascii="Arial" w:hAnsi="Arial" w:cs="Arial"/>
          <w:sz w:val="24"/>
          <w:szCs w:val="24"/>
        </w:rPr>
        <w:t> </w:t>
      </w:r>
      <w:r w:rsidR="004F1F96">
        <w:rPr>
          <w:rFonts w:ascii="Arial" w:hAnsi="Arial" w:cs="Arial"/>
          <w:sz w:val="24"/>
          <w:szCs w:val="24"/>
        </w:rPr>
        <w:t xml:space="preserve">minimální </w:t>
      </w:r>
      <w:r w:rsidR="0049332E" w:rsidRPr="004F1F96">
        <w:rPr>
          <w:rFonts w:ascii="Arial" w:hAnsi="Arial" w:cs="Arial"/>
          <w:sz w:val="24"/>
          <w:szCs w:val="24"/>
        </w:rPr>
        <w:t>účinnosti.</w:t>
      </w:r>
    </w:p>
    <w:p w:rsidR="00C055C3" w:rsidRDefault="00170C55" w:rsidP="00C055C3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4F1F96">
        <w:rPr>
          <w:rFonts w:ascii="Arial" w:hAnsi="Arial" w:cs="Arial"/>
          <w:sz w:val="24"/>
          <w:szCs w:val="24"/>
        </w:rPr>
        <w:t xml:space="preserve">Jakékoliv další znevýhodnění </w:t>
      </w:r>
      <w:r w:rsidR="004F1F96">
        <w:rPr>
          <w:rFonts w:ascii="Arial" w:hAnsi="Arial" w:cs="Arial"/>
          <w:sz w:val="24"/>
          <w:szCs w:val="24"/>
        </w:rPr>
        <w:t xml:space="preserve">malých a </w:t>
      </w:r>
      <w:r w:rsidRPr="004F1F96">
        <w:rPr>
          <w:rFonts w:ascii="Arial" w:hAnsi="Arial" w:cs="Arial"/>
          <w:sz w:val="24"/>
          <w:szCs w:val="24"/>
        </w:rPr>
        <w:t xml:space="preserve">decentralizovaných zdrojů </w:t>
      </w:r>
      <w:r w:rsidR="004F1F96">
        <w:rPr>
          <w:rFonts w:ascii="Arial" w:hAnsi="Arial" w:cs="Arial"/>
          <w:sz w:val="24"/>
          <w:szCs w:val="24"/>
        </w:rPr>
        <w:t xml:space="preserve">tepla </w:t>
      </w:r>
      <w:r w:rsidRPr="004F1F96">
        <w:rPr>
          <w:rFonts w:ascii="Arial" w:hAnsi="Arial" w:cs="Arial"/>
          <w:sz w:val="24"/>
          <w:szCs w:val="24"/>
        </w:rPr>
        <w:t>oproti centralizovaným</w:t>
      </w:r>
      <w:r w:rsidR="004F1F96">
        <w:rPr>
          <w:rFonts w:ascii="Arial" w:hAnsi="Arial" w:cs="Arial"/>
          <w:sz w:val="24"/>
          <w:szCs w:val="24"/>
        </w:rPr>
        <w:t>,</w:t>
      </w:r>
      <w:r w:rsidRPr="004F1F96">
        <w:rPr>
          <w:rFonts w:ascii="Arial" w:hAnsi="Arial" w:cs="Arial"/>
          <w:sz w:val="24"/>
          <w:szCs w:val="24"/>
        </w:rPr>
        <w:t xml:space="preserve"> s poukazem na konkurenceschopnost a narovnání podmínek</w:t>
      </w:r>
      <w:r w:rsidR="004F1F96">
        <w:rPr>
          <w:rFonts w:ascii="Arial" w:hAnsi="Arial" w:cs="Arial"/>
          <w:sz w:val="24"/>
          <w:szCs w:val="24"/>
        </w:rPr>
        <w:t>,</w:t>
      </w:r>
      <w:r w:rsidR="003B0D73">
        <w:rPr>
          <w:rFonts w:ascii="Arial" w:hAnsi="Arial" w:cs="Arial"/>
          <w:sz w:val="24"/>
          <w:szCs w:val="24"/>
        </w:rPr>
        <w:t xml:space="preserve"> je ve skutečnosti diskriminační</w:t>
      </w:r>
      <w:r w:rsidRPr="004F1F96">
        <w:rPr>
          <w:rFonts w:ascii="Arial" w:hAnsi="Arial" w:cs="Arial"/>
          <w:sz w:val="24"/>
          <w:szCs w:val="24"/>
        </w:rPr>
        <w:t>. Užití centralizovaných zdrojů navíc není řešením pro všechny lokality a přijetí navrhovaných restrikcí by tak přispěla k dalšímu znevýhodnění oblastí s</w:t>
      </w:r>
      <w:r w:rsidR="000F4E1B">
        <w:rPr>
          <w:rFonts w:ascii="Arial" w:hAnsi="Arial" w:cs="Arial"/>
          <w:sz w:val="24"/>
          <w:szCs w:val="24"/>
        </w:rPr>
        <w:t> </w:t>
      </w:r>
      <w:r w:rsidRPr="004F1F96">
        <w:rPr>
          <w:rFonts w:ascii="Arial" w:hAnsi="Arial" w:cs="Arial"/>
          <w:sz w:val="24"/>
          <w:szCs w:val="24"/>
        </w:rPr>
        <w:t>nízkou mírou hustoty osídlení.</w:t>
      </w:r>
    </w:p>
    <w:p w:rsidR="00BD7768" w:rsidRDefault="00BD7768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</w:t>
      </w:r>
      <w:r w:rsidR="00F60085">
        <w:rPr>
          <w:rFonts w:ascii="Arial" w:hAnsi="Arial" w:cs="Arial"/>
          <w:sz w:val="24"/>
          <w:szCs w:val="24"/>
        </w:rPr>
        <w:t xml:space="preserve">nepravdivě </w:t>
      </w:r>
      <w:r>
        <w:rPr>
          <w:rFonts w:ascii="Arial" w:hAnsi="Arial" w:cs="Arial"/>
          <w:sz w:val="24"/>
          <w:szCs w:val="24"/>
        </w:rPr>
        <w:t>stanovených předpokladů a obsáhlých matematických formulací a propočtů, dochází materiál k mylným závěrům</w:t>
      </w:r>
      <w:r w:rsidR="00F60085">
        <w:rPr>
          <w:rFonts w:ascii="Arial" w:hAnsi="Arial" w:cs="Arial"/>
          <w:sz w:val="24"/>
          <w:szCs w:val="24"/>
        </w:rPr>
        <w:t>.</w:t>
      </w:r>
    </w:p>
    <w:p w:rsidR="00932654" w:rsidRPr="00044D07" w:rsidRDefault="00F60085" w:rsidP="00C055C3">
      <w:pPr>
        <w:spacing w:before="240" w:after="120"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Ad </w:t>
      </w:r>
      <w:r w:rsidR="004F1F96" w:rsidRPr="00044D07">
        <w:rPr>
          <w:rFonts w:ascii="Arial" w:hAnsi="Arial" w:cs="Arial"/>
          <w:b/>
          <w:sz w:val="24"/>
          <w:szCs w:val="24"/>
          <w:u w:val="single"/>
        </w:rPr>
        <w:t>D) Nedostatečné hodnocení dopadů</w:t>
      </w:r>
    </w:p>
    <w:p w:rsidR="00CD2842" w:rsidRDefault="00F60085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Zavedením uhlíkové daně dojde k d</w:t>
      </w:r>
      <w:r w:rsidR="00CD2842">
        <w:rPr>
          <w:rFonts w:ascii="Arial" w:hAnsi="Arial" w:cs="Arial"/>
          <w:sz w:val="24"/>
          <w:szCs w:val="24"/>
        </w:rPr>
        <w:t>alší</w:t>
      </w:r>
      <w:r>
        <w:rPr>
          <w:rFonts w:ascii="Arial" w:hAnsi="Arial" w:cs="Arial"/>
          <w:sz w:val="24"/>
          <w:szCs w:val="24"/>
        </w:rPr>
        <w:t>mu</w:t>
      </w:r>
      <w:r w:rsidR="00CD2842">
        <w:rPr>
          <w:rFonts w:ascii="Arial" w:hAnsi="Arial" w:cs="Arial"/>
          <w:sz w:val="24"/>
          <w:szCs w:val="24"/>
        </w:rPr>
        <w:t xml:space="preserve"> navýšení </w:t>
      </w:r>
      <w:r w:rsidR="005C1B1C">
        <w:rPr>
          <w:rFonts w:ascii="Arial" w:hAnsi="Arial" w:cs="Arial"/>
          <w:sz w:val="24"/>
          <w:szCs w:val="24"/>
        </w:rPr>
        <w:t xml:space="preserve">cen </w:t>
      </w:r>
      <w:r w:rsidR="00CD2842">
        <w:rPr>
          <w:rFonts w:ascii="Arial" w:hAnsi="Arial" w:cs="Arial"/>
          <w:sz w:val="24"/>
          <w:szCs w:val="24"/>
        </w:rPr>
        <w:t xml:space="preserve">vybraných </w:t>
      </w:r>
      <w:r w:rsidR="005C1B1C">
        <w:rPr>
          <w:rFonts w:ascii="Arial" w:hAnsi="Arial" w:cs="Arial"/>
          <w:sz w:val="24"/>
          <w:szCs w:val="24"/>
        </w:rPr>
        <w:t xml:space="preserve">energetických nosičů, </w:t>
      </w:r>
      <w:r>
        <w:rPr>
          <w:rFonts w:ascii="Arial" w:hAnsi="Arial" w:cs="Arial"/>
          <w:sz w:val="24"/>
          <w:szCs w:val="24"/>
        </w:rPr>
        <w:t>a </w:t>
      </w:r>
      <w:r w:rsidR="00CD2842">
        <w:rPr>
          <w:rFonts w:ascii="Arial" w:hAnsi="Arial" w:cs="Arial"/>
          <w:sz w:val="24"/>
          <w:szCs w:val="24"/>
        </w:rPr>
        <w:t xml:space="preserve">především </w:t>
      </w:r>
      <w:r>
        <w:rPr>
          <w:rFonts w:ascii="Arial" w:hAnsi="Arial" w:cs="Arial"/>
          <w:sz w:val="24"/>
          <w:szCs w:val="24"/>
        </w:rPr>
        <w:t xml:space="preserve">uživatele </w:t>
      </w:r>
      <w:r w:rsidR="005C1B1C">
        <w:rPr>
          <w:rFonts w:ascii="Arial" w:hAnsi="Arial" w:cs="Arial"/>
          <w:sz w:val="24"/>
          <w:szCs w:val="24"/>
        </w:rPr>
        <w:t>zemního plynu</w:t>
      </w:r>
      <w:r w:rsidR="00CD2842">
        <w:rPr>
          <w:rFonts w:ascii="Arial" w:hAnsi="Arial" w:cs="Arial"/>
          <w:sz w:val="24"/>
          <w:szCs w:val="24"/>
        </w:rPr>
        <w:t xml:space="preserve"> a </w:t>
      </w:r>
      <w:r w:rsidR="005C1B1C">
        <w:rPr>
          <w:rFonts w:ascii="Arial" w:hAnsi="Arial" w:cs="Arial"/>
          <w:sz w:val="24"/>
          <w:szCs w:val="24"/>
        </w:rPr>
        <w:t>LPG</w:t>
      </w:r>
      <w:r>
        <w:rPr>
          <w:rFonts w:ascii="Arial" w:hAnsi="Arial" w:cs="Arial"/>
          <w:sz w:val="24"/>
          <w:szCs w:val="24"/>
        </w:rPr>
        <w:t xml:space="preserve"> bude </w:t>
      </w:r>
      <w:r w:rsidR="00CD2842">
        <w:rPr>
          <w:rFonts w:ascii="Arial" w:hAnsi="Arial" w:cs="Arial"/>
          <w:sz w:val="24"/>
          <w:szCs w:val="24"/>
        </w:rPr>
        <w:t>motivovat k přechodu na jiné zdroje</w:t>
      </w:r>
      <w:r w:rsidR="00555B57">
        <w:rPr>
          <w:rFonts w:ascii="Arial" w:hAnsi="Arial" w:cs="Arial"/>
          <w:sz w:val="24"/>
          <w:szCs w:val="24"/>
        </w:rPr>
        <w:t>. Z ekonomických důvodů půjde o </w:t>
      </w:r>
      <w:r w:rsidR="00CD2842">
        <w:rPr>
          <w:rFonts w:ascii="Arial" w:hAnsi="Arial" w:cs="Arial"/>
          <w:sz w:val="24"/>
          <w:szCs w:val="24"/>
        </w:rPr>
        <w:t xml:space="preserve">přechod k elektřině, </w:t>
      </w:r>
      <w:r w:rsidR="00555B57">
        <w:rPr>
          <w:rFonts w:ascii="Arial" w:hAnsi="Arial" w:cs="Arial"/>
          <w:sz w:val="24"/>
          <w:szCs w:val="24"/>
        </w:rPr>
        <w:t>ve venkovských oblastech o </w:t>
      </w:r>
      <w:r w:rsidR="00CD2842">
        <w:rPr>
          <w:rFonts w:ascii="Arial" w:hAnsi="Arial" w:cs="Arial"/>
          <w:sz w:val="24"/>
          <w:szCs w:val="24"/>
        </w:rPr>
        <w:t xml:space="preserve">přechod ke spalování </w:t>
      </w:r>
      <w:proofErr w:type="spellStart"/>
      <w:r w:rsidR="00CD2842">
        <w:rPr>
          <w:rFonts w:ascii="Arial" w:hAnsi="Arial" w:cs="Arial"/>
          <w:sz w:val="24"/>
          <w:szCs w:val="24"/>
        </w:rPr>
        <w:t>biopaliv</w:t>
      </w:r>
      <w:proofErr w:type="spellEnd"/>
      <w:r w:rsidR="00CD2842">
        <w:rPr>
          <w:rFonts w:ascii="Arial" w:hAnsi="Arial" w:cs="Arial"/>
          <w:sz w:val="24"/>
          <w:szCs w:val="24"/>
        </w:rPr>
        <w:t xml:space="preserve">, zejména na </w:t>
      </w:r>
      <w:r w:rsidR="003B0D73">
        <w:rPr>
          <w:rFonts w:ascii="Arial" w:hAnsi="Arial" w:cs="Arial"/>
          <w:sz w:val="24"/>
          <w:szCs w:val="24"/>
        </w:rPr>
        <w:t>bázi dřeva</w:t>
      </w:r>
      <w:r w:rsidR="00CD2842">
        <w:rPr>
          <w:rFonts w:ascii="Arial" w:hAnsi="Arial" w:cs="Arial"/>
          <w:sz w:val="24"/>
          <w:szCs w:val="24"/>
        </w:rPr>
        <w:t>. Tento na první pohled příznivý posun však v případě elektřiny</w:t>
      </w:r>
      <w:r w:rsidR="002A14B3">
        <w:rPr>
          <w:rFonts w:ascii="Arial" w:hAnsi="Arial" w:cs="Arial"/>
          <w:sz w:val="24"/>
          <w:szCs w:val="24"/>
        </w:rPr>
        <w:t xml:space="preserve">, vzhledem ke složení zdrojového mixu </w:t>
      </w:r>
      <w:r w:rsidR="00F92382">
        <w:rPr>
          <w:rFonts w:ascii="Arial" w:hAnsi="Arial" w:cs="Arial"/>
          <w:sz w:val="24"/>
          <w:szCs w:val="24"/>
        </w:rPr>
        <w:t xml:space="preserve">(viz např. </w:t>
      </w:r>
      <w:r w:rsidR="00F92382" w:rsidRPr="00F92382">
        <w:rPr>
          <w:rFonts w:ascii="Arial" w:hAnsi="Arial" w:cs="Arial"/>
          <w:sz w:val="24"/>
          <w:szCs w:val="24"/>
        </w:rPr>
        <w:t>Roční zpráva o</w:t>
      </w:r>
      <w:r>
        <w:rPr>
          <w:rFonts w:ascii="Arial" w:hAnsi="Arial" w:cs="Arial"/>
          <w:sz w:val="24"/>
          <w:szCs w:val="24"/>
        </w:rPr>
        <w:t> </w:t>
      </w:r>
      <w:r w:rsidR="00F92382" w:rsidRPr="00F92382">
        <w:rPr>
          <w:rFonts w:ascii="Arial" w:hAnsi="Arial" w:cs="Arial"/>
          <w:sz w:val="24"/>
          <w:szCs w:val="24"/>
        </w:rPr>
        <w:t>provozu ES ČR</w:t>
      </w:r>
      <w:r w:rsidR="00F92382">
        <w:rPr>
          <w:rFonts w:ascii="Arial" w:hAnsi="Arial" w:cs="Arial"/>
          <w:sz w:val="24"/>
          <w:szCs w:val="24"/>
        </w:rPr>
        <w:t xml:space="preserve"> </w:t>
      </w:r>
      <w:r w:rsidR="00467275">
        <w:rPr>
          <w:rFonts w:ascii="Arial" w:hAnsi="Arial" w:cs="Arial"/>
          <w:sz w:val="24"/>
          <w:szCs w:val="24"/>
        </w:rPr>
        <w:t>2015</w:t>
      </w:r>
      <w:r w:rsidR="004D6BA6">
        <w:rPr>
          <w:rFonts w:ascii="Arial" w:hAnsi="Arial" w:cs="Arial"/>
          <w:sz w:val="24"/>
          <w:szCs w:val="24"/>
        </w:rPr>
        <w:t>,</w:t>
      </w:r>
      <w:r w:rsidR="00467275">
        <w:rPr>
          <w:rFonts w:ascii="Arial" w:hAnsi="Arial" w:cs="Arial"/>
          <w:sz w:val="24"/>
          <w:szCs w:val="24"/>
        </w:rPr>
        <w:t xml:space="preserve"> </w:t>
      </w:r>
      <w:r w:rsidR="00F92382">
        <w:rPr>
          <w:rFonts w:ascii="Arial" w:hAnsi="Arial" w:cs="Arial"/>
          <w:sz w:val="24"/>
          <w:szCs w:val="24"/>
        </w:rPr>
        <w:t xml:space="preserve">str. 8) a účinnosti výroby elektřiny </w:t>
      </w:r>
      <w:r w:rsidR="002A14B3">
        <w:rPr>
          <w:rFonts w:ascii="Arial" w:hAnsi="Arial" w:cs="Arial"/>
          <w:sz w:val="24"/>
          <w:szCs w:val="24"/>
        </w:rPr>
        <w:t>v</w:t>
      </w:r>
      <w:r w:rsidR="00F92382">
        <w:rPr>
          <w:rFonts w:ascii="Arial" w:hAnsi="Arial" w:cs="Arial"/>
          <w:sz w:val="24"/>
          <w:szCs w:val="24"/>
        </w:rPr>
        <w:t> </w:t>
      </w:r>
      <w:r w:rsidR="002A14B3">
        <w:rPr>
          <w:rFonts w:ascii="Arial" w:hAnsi="Arial" w:cs="Arial"/>
          <w:sz w:val="24"/>
          <w:szCs w:val="24"/>
        </w:rPr>
        <w:t>ČR</w:t>
      </w:r>
      <w:r w:rsidR="00F92382">
        <w:rPr>
          <w:rFonts w:ascii="Arial" w:hAnsi="Arial" w:cs="Arial"/>
          <w:sz w:val="24"/>
          <w:szCs w:val="24"/>
        </w:rPr>
        <w:t xml:space="preserve">, </w:t>
      </w:r>
      <w:r w:rsidR="00CD2842">
        <w:rPr>
          <w:rFonts w:ascii="Arial" w:hAnsi="Arial" w:cs="Arial"/>
          <w:sz w:val="24"/>
          <w:szCs w:val="24"/>
        </w:rPr>
        <w:t xml:space="preserve">znamená </w:t>
      </w:r>
      <w:r w:rsidR="00F92382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 xml:space="preserve">každý daný případ </w:t>
      </w:r>
      <w:r w:rsidR="002A14B3">
        <w:rPr>
          <w:rFonts w:ascii="Arial" w:hAnsi="Arial" w:cs="Arial"/>
          <w:sz w:val="24"/>
          <w:szCs w:val="24"/>
        </w:rPr>
        <w:t>okamžité skokové navýšení produkce emisí CO</w:t>
      </w:r>
      <w:r w:rsidR="002A14B3" w:rsidRPr="002A14B3">
        <w:rPr>
          <w:rFonts w:ascii="Arial" w:hAnsi="Arial" w:cs="Arial"/>
          <w:sz w:val="24"/>
          <w:szCs w:val="24"/>
          <w:vertAlign w:val="subscript"/>
        </w:rPr>
        <w:t>2</w:t>
      </w:r>
      <w:r w:rsidR="002A14B3">
        <w:rPr>
          <w:rFonts w:ascii="Arial" w:hAnsi="Arial" w:cs="Arial"/>
          <w:sz w:val="24"/>
          <w:szCs w:val="24"/>
        </w:rPr>
        <w:t xml:space="preserve"> </w:t>
      </w:r>
      <w:r w:rsidR="00F92382">
        <w:rPr>
          <w:rFonts w:ascii="Arial" w:hAnsi="Arial" w:cs="Arial"/>
          <w:sz w:val="24"/>
          <w:szCs w:val="24"/>
        </w:rPr>
        <w:t xml:space="preserve">o cca 50 %, vč. </w:t>
      </w:r>
      <w:r w:rsidR="009B3B0C">
        <w:rPr>
          <w:rFonts w:ascii="Arial" w:hAnsi="Arial" w:cs="Arial"/>
          <w:sz w:val="24"/>
          <w:szCs w:val="24"/>
        </w:rPr>
        <w:t xml:space="preserve">produkce </w:t>
      </w:r>
      <w:r w:rsidR="002A14B3">
        <w:rPr>
          <w:rFonts w:ascii="Arial" w:hAnsi="Arial" w:cs="Arial"/>
          <w:sz w:val="24"/>
          <w:szCs w:val="24"/>
        </w:rPr>
        <w:t>dalších znečišťujících látek</w:t>
      </w:r>
      <w:r w:rsidR="00F92382">
        <w:rPr>
          <w:rFonts w:ascii="Arial" w:hAnsi="Arial" w:cs="Arial"/>
          <w:sz w:val="24"/>
          <w:szCs w:val="24"/>
        </w:rPr>
        <w:t>. Přechod na využívání biopaliv je příznivý z pohledu neutrální bilance emisí skleníkových plynů. Z pohledu emi</w:t>
      </w:r>
      <w:r w:rsidR="001D6005">
        <w:rPr>
          <w:rFonts w:ascii="Arial" w:hAnsi="Arial" w:cs="Arial"/>
          <w:sz w:val="24"/>
          <w:szCs w:val="24"/>
        </w:rPr>
        <w:t>sních</w:t>
      </w:r>
      <w:r w:rsidR="00F92382">
        <w:rPr>
          <w:rFonts w:ascii="Arial" w:hAnsi="Arial" w:cs="Arial"/>
          <w:sz w:val="24"/>
          <w:szCs w:val="24"/>
        </w:rPr>
        <w:t xml:space="preserve"> látek </w:t>
      </w:r>
      <w:r w:rsidR="00F92382" w:rsidRPr="00F92382">
        <w:rPr>
          <w:rFonts w:ascii="Arial" w:hAnsi="Arial" w:cs="Arial"/>
          <w:sz w:val="24"/>
          <w:szCs w:val="24"/>
        </w:rPr>
        <w:t>mající výrazné negativní dopady na lidské zdraví, ekosystémy a vegetaci</w:t>
      </w:r>
      <w:r w:rsidR="009B3B0C">
        <w:rPr>
          <w:rFonts w:ascii="Arial" w:hAnsi="Arial" w:cs="Arial"/>
          <w:sz w:val="24"/>
          <w:szCs w:val="24"/>
        </w:rPr>
        <w:t>,</w:t>
      </w:r>
      <w:r w:rsidR="00F92382">
        <w:rPr>
          <w:rFonts w:ascii="Arial" w:hAnsi="Arial" w:cs="Arial"/>
          <w:sz w:val="24"/>
          <w:szCs w:val="24"/>
        </w:rPr>
        <w:t xml:space="preserve"> se jednoznačně jedná o nepříznivý trend</w:t>
      </w:r>
      <w:r w:rsidR="001850B0">
        <w:rPr>
          <w:rFonts w:ascii="Arial" w:hAnsi="Arial" w:cs="Arial"/>
          <w:sz w:val="24"/>
          <w:szCs w:val="24"/>
        </w:rPr>
        <w:t xml:space="preserve"> (viz materiál </w:t>
      </w:r>
      <w:r w:rsidR="001850B0" w:rsidRPr="00D26C8D">
        <w:rPr>
          <w:rFonts w:ascii="Arial" w:hAnsi="Arial" w:cs="Arial"/>
          <w:sz w:val="24"/>
          <w:szCs w:val="24"/>
        </w:rPr>
        <w:t>Národní program snižování emisí Č</w:t>
      </w:r>
      <w:r w:rsidR="001850B0">
        <w:rPr>
          <w:rFonts w:ascii="Arial" w:hAnsi="Arial" w:cs="Arial"/>
          <w:sz w:val="24"/>
          <w:szCs w:val="24"/>
        </w:rPr>
        <w:t>R</w:t>
      </w:r>
      <w:r w:rsidR="001D6005">
        <w:rPr>
          <w:rFonts w:ascii="Arial" w:hAnsi="Arial" w:cs="Arial"/>
          <w:sz w:val="24"/>
          <w:szCs w:val="24"/>
        </w:rPr>
        <w:t xml:space="preserve"> </w:t>
      </w:r>
      <w:r w:rsidR="001D6005" w:rsidRPr="001D6005">
        <w:rPr>
          <w:rFonts w:ascii="Arial" w:hAnsi="Arial" w:cs="Arial"/>
          <w:sz w:val="24"/>
          <w:szCs w:val="24"/>
        </w:rPr>
        <w:t>či studie srovnávající emise znečišťujících látek ze spalování biomasy a uhlí v domácnostech</w:t>
      </w:r>
      <w:r w:rsidR="001850B0">
        <w:rPr>
          <w:rFonts w:ascii="Arial" w:hAnsi="Arial" w:cs="Arial"/>
          <w:sz w:val="24"/>
          <w:szCs w:val="24"/>
        </w:rPr>
        <w:t>).</w:t>
      </w:r>
    </w:p>
    <w:p w:rsidR="00246E6A" w:rsidRPr="00FD6C78" w:rsidRDefault="00F60085" w:rsidP="00C055C3">
      <w:pPr>
        <w:spacing w:before="240" w:after="120"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Ad </w:t>
      </w:r>
      <w:r w:rsidR="00FD6C78">
        <w:rPr>
          <w:rFonts w:ascii="Arial" w:hAnsi="Arial" w:cs="Arial"/>
          <w:b/>
          <w:sz w:val="24"/>
          <w:szCs w:val="24"/>
          <w:u w:val="single"/>
        </w:rPr>
        <w:t xml:space="preserve">E) </w:t>
      </w:r>
      <w:r w:rsidR="00DF668B">
        <w:rPr>
          <w:rFonts w:ascii="Arial" w:hAnsi="Arial" w:cs="Arial"/>
          <w:b/>
          <w:sz w:val="24"/>
          <w:szCs w:val="24"/>
          <w:u w:val="single"/>
        </w:rPr>
        <w:t>O</w:t>
      </w:r>
      <w:r w:rsidRPr="00F60085">
        <w:rPr>
          <w:rFonts w:ascii="Arial" w:hAnsi="Arial" w:cs="Arial"/>
          <w:b/>
          <w:sz w:val="24"/>
          <w:szCs w:val="24"/>
          <w:u w:val="single"/>
        </w:rPr>
        <w:t>svobození zemního plynu pro vytápění od ekologické daně</w:t>
      </w:r>
    </w:p>
    <w:p w:rsidR="004B632F" w:rsidRDefault="00FD6C78" w:rsidP="00DF668B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Materiál </w:t>
      </w:r>
      <w:r w:rsidR="00C02D00">
        <w:rPr>
          <w:rFonts w:ascii="Arial" w:hAnsi="Arial" w:cs="Arial"/>
          <w:sz w:val="24"/>
          <w:szCs w:val="24"/>
        </w:rPr>
        <w:t xml:space="preserve">v rozporu se smyslem vládního </w:t>
      </w:r>
      <w:r>
        <w:rPr>
          <w:rFonts w:ascii="Arial" w:hAnsi="Arial" w:cs="Arial"/>
          <w:sz w:val="24"/>
          <w:szCs w:val="24"/>
        </w:rPr>
        <w:t xml:space="preserve">zadání a bez zjevné souvislosti s podstatou uhlíkové daně </w:t>
      </w:r>
      <w:r w:rsidR="004B632F">
        <w:rPr>
          <w:rFonts w:ascii="Arial" w:hAnsi="Arial" w:cs="Arial"/>
          <w:sz w:val="24"/>
          <w:szCs w:val="24"/>
        </w:rPr>
        <w:t xml:space="preserve">analyzuje možnost zrušení osvobození (zemního) </w:t>
      </w:r>
      <w:r w:rsidR="004B632F" w:rsidRPr="00044D07">
        <w:rPr>
          <w:rFonts w:ascii="Arial" w:hAnsi="Arial" w:cs="Arial"/>
          <w:sz w:val="24"/>
          <w:szCs w:val="24"/>
        </w:rPr>
        <w:t>plyn</w:t>
      </w:r>
      <w:r w:rsidR="004B632F">
        <w:rPr>
          <w:rFonts w:ascii="Arial" w:hAnsi="Arial" w:cs="Arial"/>
          <w:sz w:val="24"/>
          <w:szCs w:val="24"/>
        </w:rPr>
        <w:t xml:space="preserve">u, </w:t>
      </w:r>
      <w:r w:rsidR="004B632F" w:rsidRPr="00044D07">
        <w:rPr>
          <w:rFonts w:ascii="Arial" w:hAnsi="Arial" w:cs="Arial"/>
          <w:sz w:val="24"/>
          <w:szCs w:val="24"/>
        </w:rPr>
        <w:t>určen</w:t>
      </w:r>
      <w:r w:rsidR="004B632F">
        <w:rPr>
          <w:rFonts w:ascii="Arial" w:hAnsi="Arial" w:cs="Arial"/>
          <w:sz w:val="24"/>
          <w:szCs w:val="24"/>
        </w:rPr>
        <w:t xml:space="preserve">ého </w:t>
      </w:r>
      <w:r w:rsidR="004B632F" w:rsidRPr="00044D07">
        <w:rPr>
          <w:rFonts w:ascii="Arial" w:hAnsi="Arial" w:cs="Arial"/>
          <w:sz w:val="24"/>
          <w:szCs w:val="24"/>
        </w:rPr>
        <w:t>k</w:t>
      </w:r>
      <w:r w:rsidR="004B632F">
        <w:rPr>
          <w:rFonts w:ascii="Arial" w:hAnsi="Arial" w:cs="Arial"/>
          <w:sz w:val="24"/>
          <w:szCs w:val="24"/>
        </w:rPr>
        <w:t> </w:t>
      </w:r>
      <w:r w:rsidR="004B632F" w:rsidRPr="00044D07">
        <w:rPr>
          <w:rFonts w:ascii="Arial" w:hAnsi="Arial" w:cs="Arial"/>
          <w:sz w:val="24"/>
          <w:szCs w:val="24"/>
        </w:rPr>
        <w:t>použití, nabízen</w:t>
      </w:r>
      <w:r w:rsidR="004B632F">
        <w:rPr>
          <w:rFonts w:ascii="Arial" w:hAnsi="Arial" w:cs="Arial"/>
          <w:sz w:val="24"/>
          <w:szCs w:val="24"/>
        </w:rPr>
        <w:t>ého k </w:t>
      </w:r>
      <w:r w:rsidR="004B632F" w:rsidRPr="00044D07">
        <w:rPr>
          <w:rFonts w:ascii="Arial" w:hAnsi="Arial" w:cs="Arial"/>
          <w:sz w:val="24"/>
          <w:szCs w:val="24"/>
        </w:rPr>
        <w:t>prodeji nebo použit</w:t>
      </w:r>
      <w:r w:rsidR="004B632F">
        <w:rPr>
          <w:rFonts w:ascii="Arial" w:hAnsi="Arial" w:cs="Arial"/>
          <w:sz w:val="24"/>
          <w:szCs w:val="24"/>
        </w:rPr>
        <w:t>ého p</w:t>
      </w:r>
      <w:r w:rsidR="004B632F" w:rsidRPr="00044D07">
        <w:rPr>
          <w:rFonts w:ascii="Arial" w:hAnsi="Arial" w:cs="Arial"/>
          <w:sz w:val="24"/>
          <w:szCs w:val="24"/>
        </w:rPr>
        <w:t>ro výrobu tepla v</w:t>
      </w:r>
      <w:r w:rsidR="004B632F">
        <w:rPr>
          <w:rFonts w:ascii="Arial" w:hAnsi="Arial" w:cs="Arial"/>
          <w:sz w:val="24"/>
          <w:szCs w:val="24"/>
        </w:rPr>
        <w:t> </w:t>
      </w:r>
      <w:r w:rsidR="004B632F" w:rsidRPr="00044D07">
        <w:rPr>
          <w:rFonts w:ascii="Arial" w:hAnsi="Arial" w:cs="Arial"/>
          <w:sz w:val="24"/>
          <w:szCs w:val="24"/>
        </w:rPr>
        <w:t>domácnostech a</w:t>
      </w:r>
      <w:r w:rsidR="004B632F">
        <w:rPr>
          <w:rFonts w:ascii="Arial" w:hAnsi="Arial" w:cs="Arial"/>
          <w:sz w:val="24"/>
          <w:szCs w:val="24"/>
        </w:rPr>
        <w:t> </w:t>
      </w:r>
      <w:r w:rsidR="004B632F" w:rsidRPr="00044D07">
        <w:rPr>
          <w:rFonts w:ascii="Arial" w:hAnsi="Arial" w:cs="Arial"/>
          <w:sz w:val="24"/>
          <w:szCs w:val="24"/>
        </w:rPr>
        <w:t>v</w:t>
      </w:r>
      <w:r w:rsidR="004B632F">
        <w:rPr>
          <w:rFonts w:ascii="Arial" w:hAnsi="Arial" w:cs="Arial"/>
          <w:sz w:val="24"/>
          <w:szCs w:val="24"/>
        </w:rPr>
        <w:t> </w:t>
      </w:r>
      <w:r w:rsidR="004B632F" w:rsidRPr="00044D07">
        <w:rPr>
          <w:rFonts w:ascii="Arial" w:hAnsi="Arial" w:cs="Arial"/>
          <w:sz w:val="24"/>
          <w:szCs w:val="24"/>
        </w:rPr>
        <w:t>domovních kotelnách</w:t>
      </w:r>
      <w:r w:rsidR="004B632F">
        <w:rPr>
          <w:rFonts w:ascii="Arial" w:hAnsi="Arial" w:cs="Arial"/>
          <w:sz w:val="24"/>
          <w:szCs w:val="24"/>
        </w:rPr>
        <w:t xml:space="preserve"> od ekologické daně. Osvobození </w:t>
      </w:r>
      <w:r w:rsidR="00C361D6">
        <w:rPr>
          <w:rFonts w:ascii="Arial" w:hAnsi="Arial" w:cs="Arial"/>
          <w:sz w:val="24"/>
          <w:szCs w:val="24"/>
        </w:rPr>
        <w:t xml:space="preserve">plynu </w:t>
      </w:r>
      <w:r w:rsidR="004B632F">
        <w:rPr>
          <w:rFonts w:ascii="Arial" w:hAnsi="Arial" w:cs="Arial"/>
          <w:sz w:val="24"/>
          <w:szCs w:val="24"/>
        </w:rPr>
        <w:t xml:space="preserve">od ekologické daně </w:t>
      </w:r>
      <w:r w:rsidR="004B632F" w:rsidRPr="00A46290">
        <w:rPr>
          <w:rFonts w:ascii="Arial" w:hAnsi="Arial" w:cs="Arial"/>
          <w:sz w:val="24"/>
          <w:szCs w:val="24"/>
        </w:rPr>
        <w:t>motiv</w:t>
      </w:r>
      <w:r w:rsidR="000C535F">
        <w:rPr>
          <w:rFonts w:ascii="Arial" w:hAnsi="Arial" w:cs="Arial"/>
          <w:sz w:val="24"/>
          <w:szCs w:val="24"/>
        </w:rPr>
        <w:t>uje</w:t>
      </w:r>
      <w:r w:rsidR="004B632F" w:rsidRPr="00A46290">
        <w:rPr>
          <w:rFonts w:ascii="Arial" w:hAnsi="Arial" w:cs="Arial"/>
          <w:sz w:val="24"/>
          <w:szCs w:val="24"/>
        </w:rPr>
        <w:t xml:space="preserve"> k</w:t>
      </w:r>
      <w:r w:rsidR="00C361D6">
        <w:rPr>
          <w:rFonts w:ascii="Arial" w:hAnsi="Arial" w:cs="Arial"/>
          <w:sz w:val="24"/>
          <w:szCs w:val="24"/>
        </w:rPr>
        <w:t xml:space="preserve"> jeho </w:t>
      </w:r>
      <w:r w:rsidR="004B632F" w:rsidRPr="00A46290">
        <w:rPr>
          <w:rFonts w:ascii="Arial" w:hAnsi="Arial" w:cs="Arial"/>
          <w:sz w:val="24"/>
          <w:szCs w:val="24"/>
        </w:rPr>
        <w:t xml:space="preserve">většímu </w:t>
      </w:r>
      <w:r w:rsidR="004B632F">
        <w:rPr>
          <w:rFonts w:ascii="Arial" w:hAnsi="Arial" w:cs="Arial"/>
          <w:sz w:val="24"/>
          <w:szCs w:val="24"/>
        </w:rPr>
        <w:t>využívání</w:t>
      </w:r>
      <w:r>
        <w:rPr>
          <w:rFonts w:ascii="Arial" w:hAnsi="Arial" w:cs="Arial"/>
          <w:sz w:val="24"/>
          <w:szCs w:val="24"/>
        </w:rPr>
        <w:t xml:space="preserve">, </w:t>
      </w:r>
      <w:r w:rsidR="004B632F">
        <w:rPr>
          <w:rFonts w:ascii="Arial" w:hAnsi="Arial" w:cs="Arial"/>
          <w:sz w:val="24"/>
          <w:szCs w:val="24"/>
        </w:rPr>
        <w:t xml:space="preserve">jako varianta při odklonu od využívání </w:t>
      </w:r>
      <w:r w:rsidR="004B632F" w:rsidRPr="00A46290">
        <w:rPr>
          <w:rFonts w:ascii="Arial" w:hAnsi="Arial" w:cs="Arial"/>
          <w:sz w:val="24"/>
          <w:szCs w:val="24"/>
        </w:rPr>
        <w:t>pevných fosilních paliv, a</w:t>
      </w:r>
      <w:r w:rsidR="004B632F">
        <w:rPr>
          <w:rFonts w:ascii="Arial" w:hAnsi="Arial" w:cs="Arial"/>
          <w:sz w:val="24"/>
          <w:szCs w:val="24"/>
        </w:rPr>
        <w:t> </w:t>
      </w:r>
      <w:r w:rsidR="000C535F">
        <w:rPr>
          <w:rFonts w:ascii="Arial" w:hAnsi="Arial" w:cs="Arial"/>
          <w:sz w:val="24"/>
          <w:szCs w:val="24"/>
        </w:rPr>
        <w:t xml:space="preserve">přispívá tak </w:t>
      </w:r>
      <w:r w:rsidR="004B632F" w:rsidRPr="00A46290">
        <w:rPr>
          <w:rFonts w:ascii="Arial" w:hAnsi="Arial" w:cs="Arial"/>
          <w:sz w:val="24"/>
          <w:szCs w:val="24"/>
        </w:rPr>
        <w:t>k</w:t>
      </w:r>
      <w:r w:rsidR="000C535F">
        <w:rPr>
          <w:rFonts w:ascii="Arial" w:hAnsi="Arial" w:cs="Arial"/>
          <w:sz w:val="24"/>
          <w:szCs w:val="24"/>
        </w:rPr>
        <w:t> </w:t>
      </w:r>
      <w:r w:rsidR="004B632F" w:rsidRPr="00A46290">
        <w:rPr>
          <w:rFonts w:ascii="Arial" w:hAnsi="Arial" w:cs="Arial"/>
          <w:sz w:val="24"/>
          <w:szCs w:val="24"/>
        </w:rPr>
        <w:t>postupnému zlepšování kvality ovzduší</w:t>
      </w:r>
      <w:r w:rsidR="004B632F">
        <w:rPr>
          <w:rFonts w:ascii="Arial" w:hAnsi="Arial" w:cs="Arial"/>
          <w:sz w:val="24"/>
          <w:szCs w:val="24"/>
        </w:rPr>
        <w:t xml:space="preserve"> (což je mimo jiné </w:t>
      </w:r>
      <w:r w:rsidR="004B632F">
        <w:rPr>
          <w:rFonts w:ascii="Arial" w:hAnsi="Arial" w:cs="Arial"/>
          <w:sz w:val="24"/>
          <w:szCs w:val="24"/>
        </w:rPr>
        <w:lastRenderedPageBreak/>
        <w:t xml:space="preserve">hlavním </w:t>
      </w:r>
      <w:proofErr w:type="gramStart"/>
      <w:r w:rsidR="004B632F">
        <w:rPr>
          <w:rFonts w:ascii="Arial" w:hAnsi="Arial" w:cs="Arial"/>
          <w:sz w:val="24"/>
          <w:szCs w:val="24"/>
        </w:rPr>
        <w:t>cílem D.3. SEK</w:t>
      </w:r>
      <w:proofErr w:type="gramEnd"/>
      <w:r w:rsidR="004B632F">
        <w:rPr>
          <w:rFonts w:ascii="Arial" w:hAnsi="Arial" w:cs="Arial"/>
          <w:sz w:val="24"/>
          <w:szCs w:val="24"/>
        </w:rPr>
        <w:t xml:space="preserve"> i cílem opatření BA3 </w:t>
      </w:r>
      <w:r w:rsidR="004B632F" w:rsidRPr="00552AF4">
        <w:rPr>
          <w:rFonts w:ascii="Arial" w:hAnsi="Arial" w:cs="Arial"/>
          <w:sz w:val="24"/>
          <w:szCs w:val="24"/>
        </w:rPr>
        <w:t>Národní</w:t>
      </w:r>
      <w:r w:rsidR="004B632F">
        <w:rPr>
          <w:rFonts w:ascii="Arial" w:hAnsi="Arial" w:cs="Arial"/>
          <w:sz w:val="24"/>
          <w:szCs w:val="24"/>
        </w:rPr>
        <w:t>ho</w:t>
      </w:r>
      <w:r w:rsidR="004B632F" w:rsidRPr="00552AF4">
        <w:rPr>
          <w:rFonts w:ascii="Arial" w:hAnsi="Arial" w:cs="Arial"/>
          <w:sz w:val="24"/>
          <w:szCs w:val="24"/>
        </w:rPr>
        <w:t xml:space="preserve"> program</w:t>
      </w:r>
      <w:r w:rsidR="004B632F">
        <w:rPr>
          <w:rFonts w:ascii="Arial" w:hAnsi="Arial" w:cs="Arial"/>
          <w:sz w:val="24"/>
          <w:szCs w:val="24"/>
        </w:rPr>
        <w:t>u</w:t>
      </w:r>
      <w:r w:rsidR="004B632F" w:rsidRPr="00552AF4">
        <w:rPr>
          <w:rFonts w:ascii="Arial" w:hAnsi="Arial" w:cs="Arial"/>
          <w:sz w:val="24"/>
          <w:szCs w:val="24"/>
        </w:rPr>
        <w:t xml:space="preserve"> snižování </w:t>
      </w:r>
      <w:r w:rsidR="004B632F">
        <w:rPr>
          <w:rFonts w:ascii="Arial" w:hAnsi="Arial" w:cs="Arial"/>
          <w:sz w:val="24"/>
          <w:szCs w:val="24"/>
        </w:rPr>
        <w:t>emisí ČR – viz výše).</w:t>
      </w:r>
    </w:p>
    <w:p w:rsidR="00DF668B" w:rsidRPr="00745729" w:rsidRDefault="00745729" w:rsidP="00DF668B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745729">
        <w:rPr>
          <w:rFonts w:ascii="Arial" w:hAnsi="Arial" w:cs="Arial"/>
          <w:sz w:val="24"/>
          <w:szCs w:val="24"/>
        </w:rPr>
        <w:t xml:space="preserve">Zrušení osvobození </w:t>
      </w:r>
      <w:r>
        <w:rPr>
          <w:rFonts w:ascii="Arial" w:hAnsi="Arial" w:cs="Arial"/>
          <w:sz w:val="24"/>
          <w:szCs w:val="24"/>
        </w:rPr>
        <w:t xml:space="preserve">zemního plynu </w:t>
      </w:r>
      <w:r w:rsidRPr="00745729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 xml:space="preserve">ekologické </w:t>
      </w:r>
      <w:r w:rsidRPr="00745729">
        <w:rPr>
          <w:rFonts w:ascii="Arial" w:hAnsi="Arial" w:cs="Arial"/>
          <w:sz w:val="24"/>
          <w:szCs w:val="24"/>
        </w:rPr>
        <w:t>daně</w:t>
      </w:r>
      <w:r w:rsidR="00C361D6">
        <w:rPr>
          <w:rFonts w:ascii="Arial" w:hAnsi="Arial" w:cs="Arial"/>
          <w:sz w:val="24"/>
          <w:szCs w:val="24"/>
        </w:rPr>
        <w:t xml:space="preserve"> nevytvoří „podmínky </w:t>
      </w:r>
      <w:r w:rsidR="00C361D6" w:rsidRPr="00C361D6">
        <w:rPr>
          <w:rFonts w:ascii="Arial" w:hAnsi="Arial" w:cs="Arial"/>
          <w:sz w:val="24"/>
          <w:szCs w:val="24"/>
        </w:rPr>
        <w:t>pro snížení podílu pevných fosilních paliv ve spalovacích stacionárních zdrojích nespadajících pod systém EU ETS</w:t>
      </w:r>
      <w:r w:rsidR="00C361D6">
        <w:rPr>
          <w:rFonts w:ascii="Arial" w:hAnsi="Arial" w:cs="Arial"/>
          <w:sz w:val="24"/>
          <w:szCs w:val="24"/>
        </w:rPr>
        <w:t xml:space="preserve">“ a </w:t>
      </w:r>
      <w:r w:rsidR="00BD7768">
        <w:rPr>
          <w:rFonts w:ascii="Arial" w:hAnsi="Arial" w:cs="Arial"/>
          <w:sz w:val="24"/>
          <w:szCs w:val="24"/>
        </w:rPr>
        <w:t xml:space="preserve">společně </w:t>
      </w:r>
      <w:r w:rsidRPr="00745729">
        <w:rPr>
          <w:rFonts w:ascii="Arial" w:hAnsi="Arial" w:cs="Arial"/>
          <w:sz w:val="24"/>
          <w:szCs w:val="24"/>
        </w:rPr>
        <w:t>s</w:t>
      </w:r>
      <w:r w:rsidR="00BD7768">
        <w:rPr>
          <w:rFonts w:ascii="Arial" w:hAnsi="Arial" w:cs="Arial"/>
          <w:sz w:val="24"/>
          <w:szCs w:val="24"/>
        </w:rPr>
        <w:t xml:space="preserve">e zavedením daně uhlíkové (nebo její složky), </w:t>
      </w:r>
      <w:r w:rsidRPr="0074572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y mělo </w:t>
      </w:r>
      <w:r w:rsidRPr="00745729">
        <w:rPr>
          <w:rFonts w:ascii="Arial" w:hAnsi="Arial" w:cs="Arial"/>
          <w:sz w:val="24"/>
          <w:szCs w:val="24"/>
        </w:rPr>
        <w:t>vážné dopady jak na vývoj spotřeby zemního plynu, tak i na konkurenceschopnost celé české ekonomiky. Z toho pak plynou negativní dopady na státní rozpočet a domácnosti, které spotřebovávají daná paliva. Tyto negativní dopady budou přímé i nepřímé. Mezi přímé dopady lze počítat zdražení některých současných po</w:t>
      </w:r>
      <w:r w:rsidR="00DF668B">
        <w:rPr>
          <w:rFonts w:ascii="Arial" w:hAnsi="Arial" w:cs="Arial"/>
          <w:sz w:val="24"/>
          <w:szCs w:val="24"/>
        </w:rPr>
        <w:t xml:space="preserve">dnikových energetik, které </w:t>
      </w:r>
      <w:r w:rsidRPr="00745729">
        <w:rPr>
          <w:rFonts w:ascii="Arial" w:hAnsi="Arial" w:cs="Arial"/>
          <w:sz w:val="24"/>
          <w:szCs w:val="24"/>
        </w:rPr>
        <w:t xml:space="preserve">nespadají do systému EU ETS, ale přesto mají často značný význam nejen pro průmyslový podnik, který je jejich zřizovatelem, ale i pro své </w:t>
      </w:r>
      <w:r w:rsidR="00407AAD">
        <w:rPr>
          <w:rFonts w:ascii="Arial" w:hAnsi="Arial" w:cs="Arial"/>
          <w:sz w:val="24"/>
          <w:szCs w:val="24"/>
        </w:rPr>
        <w:t>zákazníky, kterým teplo dodává.</w:t>
      </w:r>
    </w:p>
    <w:p w:rsidR="00FD6C78" w:rsidRDefault="00FD6C78" w:rsidP="008357DE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Předložený materiál (str. 22) </w:t>
      </w:r>
      <w:r w:rsidR="007D1BD2">
        <w:rPr>
          <w:rFonts w:ascii="Arial" w:hAnsi="Arial" w:cs="Arial"/>
          <w:sz w:val="24"/>
          <w:szCs w:val="24"/>
        </w:rPr>
        <w:t xml:space="preserve">rovněž </w:t>
      </w:r>
      <w:r>
        <w:rPr>
          <w:rFonts w:ascii="Arial" w:hAnsi="Arial" w:cs="Arial"/>
          <w:sz w:val="24"/>
          <w:szCs w:val="24"/>
        </w:rPr>
        <w:t xml:space="preserve">uvádí, že </w:t>
      </w:r>
      <w:r w:rsidRPr="00745729">
        <w:rPr>
          <w:rFonts w:ascii="Arial" w:hAnsi="Arial" w:cs="Arial"/>
          <w:sz w:val="24"/>
          <w:szCs w:val="24"/>
        </w:rPr>
        <w:t xml:space="preserve">91,4 % z celkového tepla vyrobeného ze zemního plynu a pevných paliv v rámci veřejné energetiky připadá na kombinovanou výrobu elektřiny a tepla, která je dle zákona o stabilizaci veřejných rozpočtů osvobozena od daně ze zemního plynu. </w:t>
      </w:r>
      <w:r w:rsidR="00C361D6">
        <w:rPr>
          <w:rFonts w:ascii="Arial" w:hAnsi="Arial" w:cs="Arial"/>
          <w:sz w:val="24"/>
          <w:szCs w:val="24"/>
        </w:rPr>
        <w:t>Z</w:t>
      </w:r>
      <w:r w:rsidR="00C361D6" w:rsidRPr="00745729">
        <w:rPr>
          <w:rFonts w:ascii="Arial" w:hAnsi="Arial" w:cs="Arial"/>
          <w:sz w:val="24"/>
          <w:szCs w:val="24"/>
        </w:rPr>
        <w:t xml:space="preserve">rušení osvobození od daně </w:t>
      </w:r>
      <w:r w:rsidRPr="00745729">
        <w:rPr>
          <w:rFonts w:ascii="Arial" w:hAnsi="Arial" w:cs="Arial"/>
          <w:sz w:val="24"/>
          <w:szCs w:val="24"/>
        </w:rPr>
        <w:t>ze zemního plynu pro výrobu tepla v</w:t>
      </w:r>
      <w:r w:rsidR="00C361D6">
        <w:rPr>
          <w:rFonts w:ascii="Arial" w:hAnsi="Arial" w:cs="Arial"/>
          <w:sz w:val="24"/>
          <w:szCs w:val="24"/>
        </w:rPr>
        <w:t> </w:t>
      </w:r>
      <w:r w:rsidRPr="00745729">
        <w:rPr>
          <w:rFonts w:ascii="Arial" w:hAnsi="Arial" w:cs="Arial"/>
          <w:sz w:val="24"/>
          <w:szCs w:val="24"/>
        </w:rPr>
        <w:t>domácnostech a</w:t>
      </w:r>
      <w:r>
        <w:rPr>
          <w:rFonts w:ascii="Arial" w:hAnsi="Arial" w:cs="Arial"/>
          <w:sz w:val="24"/>
          <w:szCs w:val="24"/>
        </w:rPr>
        <w:t> </w:t>
      </w:r>
      <w:r w:rsidRPr="0074572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745729">
        <w:rPr>
          <w:rFonts w:ascii="Arial" w:hAnsi="Arial" w:cs="Arial"/>
          <w:sz w:val="24"/>
          <w:szCs w:val="24"/>
        </w:rPr>
        <w:t>domovních kotelnách</w:t>
      </w:r>
      <w:r w:rsidR="00C361D6">
        <w:rPr>
          <w:rFonts w:ascii="Arial" w:hAnsi="Arial" w:cs="Arial"/>
          <w:sz w:val="24"/>
          <w:szCs w:val="24"/>
        </w:rPr>
        <w:t xml:space="preserve"> by tak naopak </w:t>
      </w:r>
      <w:r w:rsidRPr="00745729">
        <w:rPr>
          <w:rFonts w:ascii="Arial" w:hAnsi="Arial" w:cs="Arial"/>
          <w:sz w:val="24"/>
          <w:szCs w:val="24"/>
        </w:rPr>
        <w:t>zakládalo nerovné postavení pro tyto subjekty.</w:t>
      </w:r>
    </w:p>
    <w:p w:rsidR="00B25FFC" w:rsidRDefault="008357DE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Zrušení osvobození od ekologické daně spolu se zavedením uhlíkové daně pro zemní plyn by </w:t>
      </w:r>
      <w:r w:rsidR="00395D9E">
        <w:rPr>
          <w:rFonts w:ascii="Arial" w:hAnsi="Arial" w:cs="Arial"/>
          <w:sz w:val="24"/>
          <w:szCs w:val="24"/>
        </w:rPr>
        <w:t xml:space="preserve">patrně </w:t>
      </w:r>
      <w:r>
        <w:rPr>
          <w:rFonts w:ascii="Arial" w:hAnsi="Arial" w:cs="Arial"/>
          <w:sz w:val="24"/>
          <w:szCs w:val="24"/>
        </w:rPr>
        <w:t>vedlo k</w:t>
      </w:r>
      <w:r w:rsidR="00395D9E">
        <w:rPr>
          <w:rFonts w:ascii="Arial" w:hAnsi="Arial" w:cs="Arial"/>
          <w:sz w:val="24"/>
          <w:szCs w:val="24"/>
        </w:rPr>
        <w:t xml:space="preserve"> dalšímu </w:t>
      </w:r>
      <w:r>
        <w:rPr>
          <w:rFonts w:ascii="Arial" w:hAnsi="Arial" w:cs="Arial"/>
          <w:sz w:val="24"/>
          <w:szCs w:val="24"/>
        </w:rPr>
        <w:t>snížení spotřeby zemního plynu</w:t>
      </w:r>
      <w:r w:rsidR="00B25FFC">
        <w:rPr>
          <w:rFonts w:ascii="Arial" w:hAnsi="Arial" w:cs="Arial"/>
          <w:sz w:val="24"/>
          <w:szCs w:val="24"/>
        </w:rPr>
        <w:t xml:space="preserve">. </w:t>
      </w:r>
      <w:r w:rsidR="00B25FFC" w:rsidRPr="00B25FFC">
        <w:rPr>
          <w:rFonts w:ascii="Arial" w:hAnsi="Arial" w:cs="Arial"/>
          <w:sz w:val="24"/>
          <w:szCs w:val="24"/>
        </w:rPr>
        <w:t>Snížené využívání distribuční sítě pak činí tlak na zvýšení nákladů na distribuci</w:t>
      </w:r>
      <w:r w:rsidR="00B25FFC">
        <w:rPr>
          <w:rFonts w:ascii="Arial" w:hAnsi="Arial" w:cs="Arial"/>
          <w:sz w:val="24"/>
          <w:szCs w:val="24"/>
        </w:rPr>
        <w:t>,</w:t>
      </w:r>
      <w:r w:rsidR="00B25FFC" w:rsidRPr="00B25FFC">
        <w:rPr>
          <w:rFonts w:ascii="Arial" w:hAnsi="Arial" w:cs="Arial"/>
          <w:sz w:val="24"/>
          <w:szCs w:val="24"/>
        </w:rPr>
        <w:t xml:space="preserve"> což se negativně projeví na konečné ceně zemního plynu</w:t>
      </w:r>
      <w:r w:rsidR="00B25FFC">
        <w:rPr>
          <w:rFonts w:ascii="Arial" w:hAnsi="Arial" w:cs="Arial"/>
          <w:sz w:val="24"/>
          <w:szCs w:val="24"/>
        </w:rPr>
        <w:t>,</w:t>
      </w:r>
      <w:r w:rsidR="00B25FFC" w:rsidRPr="00B25FFC">
        <w:rPr>
          <w:rFonts w:ascii="Arial" w:hAnsi="Arial" w:cs="Arial"/>
          <w:sz w:val="24"/>
          <w:szCs w:val="24"/>
        </w:rPr>
        <w:t xml:space="preserve"> především u spotřebitelské veřejnosti.</w:t>
      </w:r>
    </w:p>
    <w:p w:rsidR="00BD7768" w:rsidRDefault="00BD7768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453DED" w:rsidRDefault="00453DED" w:rsidP="00DD511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:rsidR="00BD7768" w:rsidRPr="000F3E85" w:rsidRDefault="00B01C45" w:rsidP="00DD511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Závěrem nám za </w:t>
      </w:r>
      <w:r w:rsidR="000F3E85" w:rsidRPr="000F3E85">
        <w:rPr>
          <w:rFonts w:ascii="Arial" w:hAnsi="Arial" w:cs="Arial"/>
          <w:b/>
          <w:sz w:val="24"/>
          <w:szCs w:val="24"/>
        </w:rPr>
        <w:t xml:space="preserve">ČPS </w:t>
      </w:r>
      <w:r>
        <w:rPr>
          <w:rFonts w:ascii="Arial" w:hAnsi="Arial" w:cs="Arial"/>
          <w:b/>
          <w:sz w:val="24"/>
          <w:szCs w:val="24"/>
        </w:rPr>
        <w:t xml:space="preserve">dovolte </w:t>
      </w:r>
      <w:r w:rsidR="00644361">
        <w:rPr>
          <w:rFonts w:ascii="Arial" w:hAnsi="Arial" w:cs="Arial"/>
          <w:b/>
          <w:sz w:val="24"/>
          <w:szCs w:val="24"/>
        </w:rPr>
        <w:t>shrnout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F668B" w:rsidRPr="000F3E85">
        <w:rPr>
          <w:rFonts w:ascii="Arial" w:hAnsi="Arial" w:cs="Arial"/>
          <w:b/>
          <w:sz w:val="24"/>
          <w:szCs w:val="24"/>
        </w:rPr>
        <w:t>že m</w:t>
      </w:r>
      <w:r w:rsidR="00BD7768" w:rsidRPr="000F3E85">
        <w:rPr>
          <w:rFonts w:ascii="Arial" w:hAnsi="Arial" w:cs="Arial"/>
          <w:b/>
          <w:sz w:val="24"/>
          <w:szCs w:val="24"/>
        </w:rPr>
        <w:t xml:space="preserve">ateriál v předložené podobě </w:t>
      </w:r>
      <w:r w:rsidR="000F3E85" w:rsidRPr="000F3E85">
        <w:rPr>
          <w:rFonts w:ascii="Arial" w:hAnsi="Arial" w:cs="Arial"/>
          <w:b/>
          <w:sz w:val="24"/>
          <w:szCs w:val="24"/>
        </w:rPr>
        <w:t xml:space="preserve">nesměřuje k naplnění základních cílů v oblasti ochrany životního prostředí, ale spíše zvyšuje riziko </w:t>
      </w:r>
      <w:r w:rsidR="00B21DAF" w:rsidRPr="000F3E85">
        <w:rPr>
          <w:rFonts w:ascii="Arial" w:hAnsi="Arial" w:cs="Arial"/>
          <w:b/>
          <w:sz w:val="24"/>
          <w:szCs w:val="24"/>
        </w:rPr>
        <w:t>prohloubení nerovnosti postavení mezi zařízeními</w:t>
      </w:r>
      <w:r w:rsidR="00BD7768" w:rsidRPr="000F3E85">
        <w:rPr>
          <w:rFonts w:ascii="Arial" w:hAnsi="Arial" w:cs="Arial"/>
          <w:b/>
          <w:sz w:val="24"/>
          <w:szCs w:val="24"/>
        </w:rPr>
        <w:t xml:space="preserve"> soustav zásobování teplem</w:t>
      </w:r>
      <w:r w:rsidR="00A132FF" w:rsidRPr="000F3E85">
        <w:rPr>
          <w:rFonts w:ascii="Arial" w:hAnsi="Arial" w:cs="Arial"/>
          <w:b/>
          <w:sz w:val="24"/>
          <w:szCs w:val="24"/>
        </w:rPr>
        <w:t xml:space="preserve"> a ostatními zařízeními</w:t>
      </w:r>
      <w:r w:rsidR="00BD7768" w:rsidRPr="000F3E85">
        <w:rPr>
          <w:rFonts w:ascii="Arial" w:hAnsi="Arial" w:cs="Arial"/>
          <w:b/>
          <w:sz w:val="24"/>
          <w:szCs w:val="24"/>
        </w:rPr>
        <w:t xml:space="preserve">, bez ohledu na </w:t>
      </w:r>
      <w:r w:rsidR="00B21DAF" w:rsidRPr="000F3E85">
        <w:rPr>
          <w:rFonts w:ascii="Arial" w:hAnsi="Arial" w:cs="Arial"/>
          <w:b/>
          <w:sz w:val="24"/>
          <w:szCs w:val="24"/>
        </w:rPr>
        <w:t>citelné dopady</w:t>
      </w:r>
      <w:r w:rsidR="00BD7768" w:rsidRPr="000F3E85">
        <w:rPr>
          <w:rFonts w:ascii="Arial" w:hAnsi="Arial" w:cs="Arial"/>
          <w:b/>
          <w:sz w:val="24"/>
          <w:szCs w:val="24"/>
        </w:rPr>
        <w:t xml:space="preserve">, které přijetí </w:t>
      </w:r>
      <w:r w:rsidR="000F3E85" w:rsidRPr="000F3E85">
        <w:rPr>
          <w:rFonts w:ascii="Arial" w:hAnsi="Arial" w:cs="Arial"/>
          <w:b/>
          <w:sz w:val="24"/>
          <w:szCs w:val="24"/>
        </w:rPr>
        <w:t xml:space="preserve">některých </w:t>
      </w:r>
      <w:r w:rsidR="00BD7768" w:rsidRPr="000F3E85">
        <w:rPr>
          <w:rFonts w:ascii="Arial" w:hAnsi="Arial" w:cs="Arial"/>
          <w:b/>
          <w:sz w:val="24"/>
          <w:szCs w:val="24"/>
        </w:rPr>
        <w:t>navrhovaných opatření způsobí.</w:t>
      </w:r>
      <w:r w:rsidR="000F3E85" w:rsidRPr="000F3E85">
        <w:rPr>
          <w:rFonts w:ascii="Arial" w:hAnsi="Arial" w:cs="Arial"/>
          <w:b/>
          <w:sz w:val="24"/>
          <w:szCs w:val="24"/>
        </w:rPr>
        <w:t xml:space="preserve"> Považujeme proto za žádoucí materiál ve smyslu námi uve</w:t>
      </w:r>
      <w:r w:rsidR="00C97EFF">
        <w:rPr>
          <w:rFonts w:ascii="Arial" w:hAnsi="Arial" w:cs="Arial"/>
          <w:b/>
          <w:sz w:val="24"/>
          <w:szCs w:val="24"/>
        </w:rPr>
        <w:t>dených připomínek přepracovat.</w:t>
      </w:r>
    </w:p>
    <w:p w:rsidR="00044D07" w:rsidRDefault="00044D07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9B207A" w:rsidRDefault="009B207A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25FFC" w:rsidRDefault="00B25FF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25FFC" w:rsidRDefault="00B25FF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25FFC" w:rsidRDefault="00B25FF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25FFC" w:rsidRDefault="00B25FF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25FFC" w:rsidRDefault="00B25FF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25FFC" w:rsidRPr="000B5363" w:rsidRDefault="00B25FF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C5F94" w:rsidRPr="000B5363" w:rsidRDefault="007C5F94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0B5363">
        <w:rPr>
          <w:rFonts w:ascii="Arial" w:hAnsi="Arial" w:cs="Arial"/>
          <w:sz w:val="24"/>
          <w:szCs w:val="24"/>
        </w:rPr>
        <w:t xml:space="preserve">Praha </w:t>
      </w:r>
      <w:r w:rsidR="00FD6C78">
        <w:rPr>
          <w:rFonts w:ascii="Arial" w:hAnsi="Arial" w:cs="Arial"/>
          <w:sz w:val="24"/>
          <w:szCs w:val="24"/>
        </w:rPr>
        <w:t>16</w:t>
      </w:r>
      <w:r w:rsidRPr="000B5363">
        <w:rPr>
          <w:rFonts w:ascii="Arial" w:hAnsi="Arial" w:cs="Arial"/>
          <w:sz w:val="24"/>
          <w:szCs w:val="24"/>
        </w:rPr>
        <w:t xml:space="preserve">. </w:t>
      </w:r>
      <w:r w:rsidR="00FD6C78">
        <w:rPr>
          <w:rFonts w:ascii="Arial" w:hAnsi="Arial" w:cs="Arial"/>
          <w:sz w:val="24"/>
          <w:szCs w:val="24"/>
        </w:rPr>
        <w:t>srpna</w:t>
      </w:r>
      <w:r w:rsidRPr="000B5363">
        <w:rPr>
          <w:rFonts w:ascii="Arial" w:hAnsi="Arial" w:cs="Arial"/>
          <w:sz w:val="24"/>
          <w:szCs w:val="24"/>
        </w:rPr>
        <w:t xml:space="preserve"> 201</w:t>
      </w:r>
      <w:r w:rsidR="00D874F1" w:rsidRPr="000B5363">
        <w:rPr>
          <w:rFonts w:ascii="Arial" w:hAnsi="Arial" w:cs="Arial"/>
          <w:sz w:val="24"/>
          <w:szCs w:val="24"/>
        </w:rPr>
        <w:t>6</w:t>
      </w:r>
    </w:p>
    <w:sectPr w:rsidR="007C5F94" w:rsidRPr="000B5363" w:rsidSect="00BD7768">
      <w:footerReference w:type="default" r:id="rId8"/>
      <w:headerReference w:type="first" r:id="rId9"/>
      <w:pgSz w:w="11906" w:h="16838" w:code="9"/>
      <w:pgMar w:top="1805" w:right="1133" w:bottom="851" w:left="1134" w:header="284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77" w:rsidRDefault="00387877" w:rsidP="00BF2205">
      <w:pPr>
        <w:spacing w:after="0" w:line="240" w:lineRule="auto"/>
      </w:pPr>
      <w:r>
        <w:separator/>
      </w:r>
    </w:p>
  </w:endnote>
  <w:endnote w:type="continuationSeparator" w:id="0">
    <w:p w:rsidR="00387877" w:rsidRDefault="00387877" w:rsidP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84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A06C79" w:rsidRPr="005D2E45" w:rsidRDefault="00264B96" w:rsidP="005D2E45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5D2E45">
          <w:rPr>
            <w:rFonts w:ascii="Arial" w:hAnsi="Arial" w:cs="Arial"/>
            <w:sz w:val="24"/>
            <w:szCs w:val="24"/>
          </w:rPr>
          <w:fldChar w:fldCharType="begin"/>
        </w:r>
        <w:r w:rsidR="00A06C79" w:rsidRPr="005D2E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D2E45">
          <w:rPr>
            <w:rFonts w:ascii="Arial" w:hAnsi="Arial" w:cs="Arial"/>
            <w:sz w:val="24"/>
            <w:szCs w:val="24"/>
          </w:rPr>
          <w:fldChar w:fldCharType="separate"/>
        </w:r>
        <w:r w:rsidR="00C97EFF">
          <w:rPr>
            <w:rFonts w:ascii="Arial" w:hAnsi="Arial" w:cs="Arial"/>
            <w:noProof/>
            <w:sz w:val="24"/>
            <w:szCs w:val="24"/>
          </w:rPr>
          <w:t>2</w:t>
        </w:r>
        <w:r w:rsidRPr="005D2E4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77" w:rsidRDefault="00387877" w:rsidP="00BF2205">
      <w:pPr>
        <w:spacing w:after="0" w:line="240" w:lineRule="auto"/>
      </w:pPr>
      <w:r>
        <w:separator/>
      </w:r>
    </w:p>
  </w:footnote>
  <w:footnote w:type="continuationSeparator" w:id="0">
    <w:p w:rsidR="00387877" w:rsidRDefault="00387877" w:rsidP="00BF2205">
      <w:pPr>
        <w:spacing w:after="0" w:line="240" w:lineRule="auto"/>
      </w:pPr>
      <w:r>
        <w:continuationSeparator/>
      </w:r>
    </w:p>
  </w:footnote>
  <w:footnote w:id="1">
    <w:p w:rsidR="00180E49" w:rsidRPr="00180E49" w:rsidRDefault="00180E49" w:rsidP="00180E49"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80E49">
        <w:rPr>
          <w:rFonts w:ascii="Arial" w:hAnsi="Arial" w:cs="Arial"/>
          <w:sz w:val="18"/>
          <w:szCs w:val="18"/>
        </w:rPr>
        <w:t>K závěrům pro vybrané sektory, vycházejícím z emisní analýzy, uvádí materiál následující:</w:t>
      </w:r>
    </w:p>
    <w:p w:rsidR="00180E49" w:rsidRPr="00180E49" w:rsidRDefault="00180E49" w:rsidP="00180E49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0E49">
        <w:rPr>
          <w:rFonts w:ascii="Arial" w:hAnsi="Arial" w:cs="Arial"/>
          <w:sz w:val="18"/>
          <w:szCs w:val="18"/>
        </w:rPr>
        <w:t>Sektor „lokální vytápění domácností“ představuje v současné době téměř 12 % celkových emisí oxidu siřičitého, více než 20 % celkových emisí NM-VOC, téměř 41 % celkových emisí primárních částic PM</w:t>
      </w:r>
      <w:r w:rsidRPr="00180E49">
        <w:rPr>
          <w:rFonts w:ascii="Arial" w:hAnsi="Arial" w:cs="Arial"/>
          <w:sz w:val="18"/>
          <w:szCs w:val="18"/>
          <w:vertAlign w:val="subscript"/>
        </w:rPr>
        <w:t>10</w:t>
      </w:r>
      <w:r w:rsidRPr="00180E49">
        <w:rPr>
          <w:rFonts w:ascii="Arial" w:hAnsi="Arial" w:cs="Arial"/>
          <w:sz w:val="18"/>
          <w:szCs w:val="18"/>
        </w:rPr>
        <w:t>, více než 59 % celkových emisí primárních částic PM</w:t>
      </w:r>
      <w:r w:rsidRPr="00180E49">
        <w:rPr>
          <w:rFonts w:ascii="Arial" w:hAnsi="Arial" w:cs="Arial"/>
          <w:sz w:val="18"/>
          <w:szCs w:val="18"/>
          <w:vertAlign w:val="subscript"/>
        </w:rPr>
        <w:t xml:space="preserve">2.5 </w:t>
      </w:r>
      <w:r w:rsidRPr="00180E49">
        <w:rPr>
          <w:rFonts w:ascii="Arial" w:hAnsi="Arial" w:cs="Arial"/>
          <w:sz w:val="18"/>
          <w:szCs w:val="18"/>
        </w:rPr>
        <w:t xml:space="preserve">a téměř 90 % celkových emisí </w:t>
      </w:r>
      <w:proofErr w:type="spellStart"/>
      <w:proofErr w:type="gramStart"/>
      <w:r w:rsidRPr="00180E49">
        <w:rPr>
          <w:rFonts w:ascii="Arial" w:hAnsi="Arial" w:cs="Arial"/>
          <w:sz w:val="18"/>
          <w:szCs w:val="18"/>
        </w:rPr>
        <w:t>benzo</w:t>
      </w:r>
      <w:proofErr w:type="spellEnd"/>
      <w:r w:rsidRPr="00180E49">
        <w:rPr>
          <w:rFonts w:ascii="Arial" w:hAnsi="Arial" w:cs="Arial"/>
          <w:sz w:val="18"/>
          <w:szCs w:val="18"/>
        </w:rPr>
        <w:t>(a)</w:t>
      </w:r>
      <w:proofErr w:type="spellStart"/>
      <w:r w:rsidRPr="00180E49">
        <w:rPr>
          <w:rFonts w:ascii="Arial" w:hAnsi="Arial" w:cs="Arial"/>
          <w:sz w:val="18"/>
          <w:szCs w:val="18"/>
        </w:rPr>
        <w:t>pyrenu</w:t>
      </w:r>
      <w:proofErr w:type="spellEnd"/>
      <w:proofErr w:type="gramEnd"/>
      <w:r w:rsidRPr="00180E49">
        <w:rPr>
          <w:rFonts w:ascii="Arial" w:hAnsi="Arial" w:cs="Arial"/>
          <w:sz w:val="18"/>
          <w:szCs w:val="18"/>
        </w:rPr>
        <w:t>.</w:t>
      </w:r>
    </w:p>
    <w:p w:rsidR="00180E49" w:rsidRPr="00180E49" w:rsidRDefault="00180E49" w:rsidP="00180E49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0E49">
        <w:rPr>
          <w:rFonts w:ascii="Arial" w:hAnsi="Arial" w:cs="Arial"/>
          <w:sz w:val="18"/>
          <w:szCs w:val="18"/>
        </w:rPr>
        <w:t>Sektor „veřejná energetika a výroba tepla“ představuje více než 62 % celkových emisí oxidu siřičitého, téměř 36 % celkových emisí oxidů dusíku a více než 8 % celkových emisí primárních částic PM</w:t>
      </w:r>
      <w:r w:rsidRPr="00180E49">
        <w:rPr>
          <w:rFonts w:ascii="Arial" w:hAnsi="Arial" w:cs="Arial"/>
          <w:sz w:val="18"/>
          <w:szCs w:val="18"/>
          <w:vertAlign w:val="subscript"/>
        </w:rPr>
        <w:t>10</w:t>
      </w:r>
      <w:r w:rsidRPr="00180E49">
        <w:rPr>
          <w:rFonts w:ascii="Arial" w:hAnsi="Arial" w:cs="Arial"/>
          <w:sz w:val="18"/>
          <w:szCs w:val="18"/>
        </w:rPr>
        <w:t xml:space="preserve"> a PM</w:t>
      </w:r>
      <w:r w:rsidRPr="00180E49">
        <w:rPr>
          <w:rFonts w:ascii="Arial" w:hAnsi="Arial" w:cs="Arial"/>
          <w:sz w:val="18"/>
          <w:szCs w:val="18"/>
          <w:vertAlign w:val="subscript"/>
        </w:rPr>
        <w:t>2.5</w:t>
      </w:r>
      <w:r w:rsidRPr="00180E49">
        <w:rPr>
          <w:rFonts w:ascii="Arial" w:hAnsi="Arial" w:cs="Arial"/>
          <w:sz w:val="18"/>
          <w:szCs w:val="18"/>
        </w:rPr>
        <w:t>.</w:t>
      </w:r>
    </w:p>
    <w:p w:rsidR="00180E49" w:rsidRPr="00180E49" w:rsidRDefault="00180E49" w:rsidP="00180E49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  <w:r w:rsidRPr="00180E49">
        <w:rPr>
          <w:rFonts w:ascii="Arial" w:hAnsi="Arial" w:cs="Arial"/>
          <w:sz w:val="18"/>
          <w:szCs w:val="18"/>
        </w:rPr>
        <w:t>K závěrům imisní analýzy uvádí materiál mimo jiné následující:</w:t>
      </w:r>
    </w:p>
    <w:p w:rsidR="00180E49" w:rsidRPr="00180E49" w:rsidRDefault="00180E49" w:rsidP="00180E49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0E49">
        <w:rPr>
          <w:rFonts w:ascii="Arial" w:hAnsi="Arial" w:cs="Arial"/>
          <w:sz w:val="18"/>
          <w:szCs w:val="18"/>
        </w:rPr>
        <w:t xml:space="preserve">Na území ČR jsou plošně překračovány imisní limity pro suspendované částice </w:t>
      </w:r>
      <w:proofErr w:type="spellStart"/>
      <w:r w:rsidRPr="00180E49">
        <w:rPr>
          <w:rFonts w:ascii="Arial" w:hAnsi="Arial" w:cs="Arial"/>
          <w:sz w:val="18"/>
          <w:szCs w:val="18"/>
        </w:rPr>
        <w:t>PM</w:t>
      </w:r>
      <w:r w:rsidRPr="00180E49">
        <w:rPr>
          <w:rFonts w:ascii="Arial" w:hAnsi="Arial" w:cs="Arial"/>
          <w:sz w:val="18"/>
          <w:szCs w:val="18"/>
          <w:vertAlign w:val="subscript"/>
        </w:rPr>
        <w:t>10</w:t>
      </w:r>
      <w:proofErr w:type="spellEnd"/>
      <w:r w:rsidRPr="00180E4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80E49">
        <w:rPr>
          <w:rFonts w:ascii="Arial" w:hAnsi="Arial" w:cs="Arial"/>
          <w:sz w:val="18"/>
          <w:szCs w:val="18"/>
        </w:rPr>
        <w:t>PM</w:t>
      </w:r>
      <w:r w:rsidRPr="00180E49">
        <w:rPr>
          <w:rFonts w:ascii="Arial" w:hAnsi="Arial" w:cs="Arial"/>
          <w:sz w:val="18"/>
          <w:szCs w:val="18"/>
          <w:vertAlign w:val="subscript"/>
        </w:rPr>
        <w:t>2</w:t>
      </w:r>
      <w:proofErr w:type="spellEnd"/>
      <w:r w:rsidRPr="00180E49">
        <w:rPr>
          <w:rFonts w:ascii="Arial" w:hAnsi="Arial" w:cs="Arial"/>
          <w:sz w:val="18"/>
          <w:szCs w:val="18"/>
          <w:vertAlign w:val="subscript"/>
        </w:rPr>
        <w:t>,5</w:t>
      </w:r>
      <w:r w:rsidRPr="00180E49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180E49">
        <w:rPr>
          <w:rFonts w:ascii="Arial" w:hAnsi="Arial" w:cs="Arial"/>
          <w:sz w:val="18"/>
          <w:szCs w:val="18"/>
        </w:rPr>
        <w:t>dále B(a)P a</w:t>
      </w:r>
      <w:r w:rsidR="000F4E1B">
        <w:rPr>
          <w:rFonts w:ascii="Arial" w:hAnsi="Arial" w:cs="Arial"/>
          <w:sz w:val="18"/>
          <w:szCs w:val="18"/>
        </w:rPr>
        <w:t> </w:t>
      </w:r>
      <w:r w:rsidRPr="00180E49">
        <w:rPr>
          <w:rFonts w:ascii="Arial" w:hAnsi="Arial" w:cs="Arial"/>
          <w:sz w:val="18"/>
          <w:szCs w:val="18"/>
        </w:rPr>
        <w:t>troposférický</w:t>
      </w:r>
      <w:proofErr w:type="gramEnd"/>
      <w:r w:rsidRPr="00180E49">
        <w:rPr>
          <w:rFonts w:ascii="Arial" w:hAnsi="Arial" w:cs="Arial"/>
          <w:sz w:val="18"/>
          <w:szCs w:val="18"/>
        </w:rPr>
        <w:t xml:space="preserve"> ozon.</w:t>
      </w:r>
    </w:p>
    <w:p w:rsidR="00180E49" w:rsidRPr="00180E49" w:rsidRDefault="00180E49" w:rsidP="00180E49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0E49">
        <w:rPr>
          <w:rFonts w:ascii="Arial" w:hAnsi="Arial" w:cs="Arial"/>
          <w:sz w:val="18"/>
          <w:szCs w:val="18"/>
        </w:rPr>
        <w:t>V oblastech s nadlimitní roční průměrnou koncentrací suspendovaných částic PM10 žilo průměrně více než 5 % obyvatel, v oblastech s nadlimitní denní koncentrací suspendovaných částic PM</w:t>
      </w:r>
      <w:r w:rsidRPr="00180E49">
        <w:rPr>
          <w:rFonts w:ascii="Arial" w:hAnsi="Arial" w:cs="Arial"/>
          <w:sz w:val="18"/>
          <w:szCs w:val="18"/>
          <w:vertAlign w:val="subscript"/>
        </w:rPr>
        <w:t>10</w:t>
      </w:r>
      <w:r w:rsidRPr="00180E49">
        <w:rPr>
          <w:rFonts w:ascii="Arial" w:hAnsi="Arial" w:cs="Arial"/>
          <w:sz w:val="18"/>
          <w:szCs w:val="18"/>
        </w:rPr>
        <w:t xml:space="preserve"> pak průměrně cca 30 % obyvatel.</w:t>
      </w:r>
    </w:p>
    <w:p w:rsidR="00180E49" w:rsidRPr="00180E49" w:rsidRDefault="00180E49" w:rsidP="00180E49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0E49">
        <w:rPr>
          <w:rFonts w:ascii="Arial" w:hAnsi="Arial" w:cs="Arial"/>
          <w:sz w:val="18"/>
          <w:szCs w:val="18"/>
        </w:rPr>
        <w:t xml:space="preserve">V oblastech s nedodrženým imisním limitem pro </w:t>
      </w:r>
      <w:proofErr w:type="spellStart"/>
      <w:proofErr w:type="gramStart"/>
      <w:r w:rsidRPr="00180E49">
        <w:rPr>
          <w:rFonts w:ascii="Arial" w:hAnsi="Arial" w:cs="Arial"/>
          <w:sz w:val="18"/>
          <w:szCs w:val="18"/>
        </w:rPr>
        <w:t>benzo</w:t>
      </w:r>
      <w:proofErr w:type="spellEnd"/>
      <w:r w:rsidRPr="00180E49">
        <w:rPr>
          <w:rFonts w:ascii="Arial" w:hAnsi="Arial" w:cs="Arial"/>
          <w:sz w:val="18"/>
          <w:szCs w:val="18"/>
        </w:rPr>
        <w:t>(a)</w:t>
      </w:r>
      <w:proofErr w:type="spellStart"/>
      <w:r w:rsidRPr="00180E49">
        <w:rPr>
          <w:rFonts w:ascii="Arial" w:hAnsi="Arial" w:cs="Arial"/>
          <w:sz w:val="18"/>
          <w:szCs w:val="18"/>
        </w:rPr>
        <w:t>pyren</w:t>
      </w:r>
      <w:proofErr w:type="spellEnd"/>
      <w:proofErr w:type="gramEnd"/>
      <w:r w:rsidRPr="00180E49">
        <w:rPr>
          <w:rFonts w:ascii="Arial" w:hAnsi="Arial" w:cs="Arial"/>
          <w:sz w:val="18"/>
          <w:szCs w:val="18"/>
        </w:rPr>
        <w:t xml:space="preserve"> žilo průměrně více než 53 % obyvatel.</w:t>
      </w:r>
    </w:p>
    <w:p w:rsidR="00180E49" w:rsidRPr="00180E49" w:rsidRDefault="00180E49" w:rsidP="00180E49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0E49">
        <w:rPr>
          <w:rFonts w:ascii="Arial" w:hAnsi="Arial" w:cs="Arial"/>
          <w:sz w:val="18"/>
          <w:szCs w:val="18"/>
        </w:rPr>
        <w:t>V oblastech s nadlimitní roční průměrnou koncentrací suspendovaných částic PM</w:t>
      </w:r>
      <w:r w:rsidRPr="00180E49">
        <w:rPr>
          <w:rFonts w:ascii="Arial" w:hAnsi="Arial" w:cs="Arial"/>
          <w:sz w:val="18"/>
          <w:szCs w:val="18"/>
          <w:vertAlign w:val="subscript"/>
        </w:rPr>
        <w:t xml:space="preserve">2.5 </w:t>
      </w:r>
      <w:r w:rsidRPr="00180E49">
        <w:rPr>
          <w:rFonts w:ascii="Arial" w:hAnsi="Arial" w:cs="Arial"/>
          <w:sz w:val="18"/>
          <w:szCs w:val="18"/>
        </w:rPr>
        <w:t>žilo průměrně více než 11 % obyvatel.</w:t>
      </w:r>
    </w:p>
    <w:p w:rsidR="00180E49" w:rsidRDefault="00180E49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79" w:rsidRDefault="00A06C79" w:rsidP="00BF2205">
    <w:pPr>
      <w:pStyle w:val="Zhlav"/>
      <w:jc w:val="center"/>
    </w:pPr>
    <w:r w:rsidRPr="00BF2205">
      <w:rPr>
        <w:noProof/>
        <w:lang w:eastAsia="cs-CZ"/>
      </w:rPr>
      <w:drawing>
        <wp:inline distT="0" distB="0" distL="0" distR="0">
          <wp:extent cx="2819400" cy="76146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367" cy="76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42655"/>
    <w:multiLevelType w:val="hybridMultilevel"/>
    <w:tmpl w:val="FE5A76A2"/>
    <w:lvl w:ilvl="0" w:tplc="5080C44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79A4D62"/>
    <w:multiLevelType w:val="hybridMultilevel"/>
    <w:tmpl w:val="096AA14E"/>
    <w:lvl w:ilvl="0" w:tplc="FD30A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F56AE"/>
    <w:multiLevelType w:val="hybridMultilevel"/>
    <w:tmpl w:val="11765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89"/>
    <w:rsid w:val="00003994"/>
    <w:rsid w:val="00007F68"/>
    <w:rsid w:val="000156A4"/>
    <w:rsid w:val="00044D07"/>
    <w:rsid w:val="00070E53"/>
    <w:rsid w:val="00071B2E"/>
    <w:rsid w:val="00073F59"/>
    <w:rsid w:val="00074A58"/>
    <w:rsid w:val="00075504"/>
    <w:rsid w:val="0009020F"/>
    <w:rsid w:val="0009706E"/>
    <w:rsid w:val="000B05C6"/>
    <w:rsid w:val="000B5363"/>
    <w:rsid w:val="000C0A1F"/>
    <w:rsid w:val="000C535F"/>
    <w:rsid w:val="000F3E85"/>
    <w:rsid w:val="000F4E1B"/>
    <w:rsid w:val="00106C8A"/>
    <w:rsid w:val="00117D55"/>
    <w:rsid w:val="001332F9"/>
    <w:rsid w:val="00134C1F"/>
    <w:rsid w:val="001522E5"/>
    <w:rsid w:val="001677B5"/>
    <w:rsid w:val="00167965"/>
    <w:rsid w:val="00170C55"/>
    <w:rsid w:val="00176109"/>
    <w:rsid w:val="00180E49"/>
    <w:rsid w:val="001850B0"/>
    <w:rsid w:val="001B5236"/>
    <w:rsid w:val="001B584B"/>
    <w:rsid w:val="001C6699"/>
    <w:rsid w:val="001D6005"/>
    <w:rsid w:val="001E5A97"/>
    <w:rsid w:val="001F67F8"/>
    <w:rsid w:val="00226B19"/>
    <w:rsid w:val="00231A35"/>
    <w:rsid w:val="00246E6A"/>
    <w:rsid w:val="00250186"/>
    <w:rsid w:val="0026061A"/>
    <w:rsid w:val="00264690"/>
    <w:rsid w:val="00264B96"/>
    <w:rsid w:val="0028509D"/>
    <w:rsid w:val="002A14B3"/>
    <w:rsid w:val="002B4A53"/>
    <w:rsid w:val="002E2CC4"/>
    <w:rsid w:val="002F2096"/>
    <w:rsid w:val="002F6080"/>
    <w:rsid w:val="003015A0"/>
    <w:rsid w:val="00306367"/>
    <w:rsid w:val="00317B26"/>
    <w:rsid w:val="00323B93"/>
    <w:rsid w:val="003327F2"/>
    <w:rsid w:val="00335B60"/>
    <w:rsid w:val="00341E10"/>
    <w:rsid w:val="003444E8"/>
    <w:rsid w:val="0037085F"/>
    <w:rsid w:val="00376EA8"/>
    <w:rsid w:val="00387877"/>
    <w:rsid w:val="00391CC2"/>
    <w:rsid w:val="00393DFA"/>
    <w:rsid w:val="00395D9E"/>
    <w:rsid w:val="003A20B0"/>
    <w:rsid w:val="003B0D73"/>
    <w:rsid w:val="003C387B"/>
    <w:rsid w:val="003D29A2"/>
    <w:rsid w:val="003D5B23"/>
    <w:rsid w:val="003E41C8"/>
    <w:rsid w:val="003F5C50"/>
    <w:rsid w:val="00407AAD"/>
    <w:rsid w:val="00410368"/>
    <w:rsid w:val="00425F0F"/>
    <w:rsid w:val="00430715"/>
    <w:rsid w:val="00434590"/>
    <w:rsid w:val="00453DED"/>
    <w:rsid w:val="00467275"/>
    <w:rsid w:val="00470B4B"/>
    <w:rsid w:val="004770A9"/>
    <w:rsid w:val="0049332E"/>
    <w:rsid w:val="00497A5A"/>
    <w:rsid w:val="004B632F"/>
    <w:rsid w:val="004D24C2"/>
    <w:rsid w:val="004D6BA6"/>
    <w:rsid w:val="004F0FEF"/>
    <w:rsid w:val="004F1F96"/>
    <w:rsid w:val="004F500E"/>
    <w:rsid w:val="004F517C"/>
    <w:rsid w:val="00506824"/>
    <w:rsid w:val="00513661"/>
    <w:rsid w:val="00515263"/>
    <w:rsid w:val="00526E48"/>
    <w:rsid w:val="00552AF4"/>
    <w:rsid w:val="00555B57"/>
    <w:rsid w:val="00561794"/>
    <w:rsid w:val="00562211"/>
    <w:rsid w:val="00573B8E"/>
    <w:rsid w:val="00576C9B"/>
    <w:rsid w:val="00585489"/>
    <w:rsid w:val="0059361A"/>
    <w:rsid w:val="005967DE"/>
    <w:rsid w:val="005C1B1C"/>
    <w:rsid w:val="005C3C5A"/>
    <w:rsid w:val="005C439B"/>
    <w:rsid w:val="005C7166"/>
    <w:rsid w:val="005D2E45"/>
    <w:rsid w:val="005D507B"/>
    <w:rsid w:val="005F448B"/>
    <w:rsid w:val="0060090C"/>
    <w:rsid w:val="00606420"/>
    <w:rsid w:val="00613BAE"/>
    <w:rsid w:val="0061723C"/>
    <w:rsid w:val="00621567"/>
    <w:rsid w:val="006238D6"/>
    <w:rsid w:val="00637EFC"/>
    <w:rsid w:val="00644361"/>
    <w:rsid w:val="0065087E"/>
    <w:rsid w:val="00653F40"/>
    <w:rsid w:val="006571A9"/>
    <w:rsid w:val="00662015"/>
    <w:rsid w:val="00663049"/>
    <w:rsid w:val="00667DF1"/>
    <w:rsid w:val="00670C9A"/>
    <w:rsid w:val="00674408"/>
    <w:rsid w:val="006D3111"/>
    <w:rsid w:val="006F7A52"/>
    <w:rsid w:val="007042B9"/>
    <w:rsid w:val="00706680"/>
    <w:rsid w:val="00713844"/>
    <w:rsid w:val="00723DE5"/>
    <w:rsid w:val="00745729"/>
    <w:rsid w:val="00746555"/>
    <w:rsid w:val="00751766"/>
    <w:rsid w:val="00766CD5"/>
    <w:rsid w:val="00766FE3"/>
    <w:rsid w:val="00774D70"/>
    <w:rsid w:val="00776768"/>
    <w:rsid w:val="007928EB"/>
    <w:rsid w:val="00793278"/>
    <w:rsid w:val="007C5F94"/>
    <w:rsid w:val="007C6E65"/>
    <w:rsid w:val="007D0EDF"/>
    <w:rsid w:val="007D1BD2"/>
    <w:rsid w:val="007D64AB"/>
    <w:rsid w:val="007F3A82"/>
    <w:rsid w:val="007F7FA2"/>
    <w:rsid w:val="00802893"/>
    <w:rsid w:val="00804E7A"/>
    <w:rsid w:val="00813081"/>
    <w:rsid w:val="00816061"/>
    <w:rsid w:val="008236F7"/>
    <w:rsid w:val="0083302A"/>
    <w:rsid w:val="008357DE"/>
    <w:rsid w:val="00837F46"/>
    <w:rsid w:val="00844484"/>
    <w:rsid w:val="0084671C"/>
    <w:rsid w:val="00871D4D"/>
    <w:rsid w:val="00872308"/>
    <w:rsid w:val="008726B9"/>
    <w:rsid w:val="00881C62"/>
    <w:rsid w:val="008931AF"/>
    <w:rsid w:val="008A20F2"/>
    <w:rsid w:val="008A39C1"/>
    <w:rsid w:val="008A4DA4"/>
    <w:rsid w:val="008A5215"/>
    <w:rsid w:val="008A7EC6"/>
    <w:rsid w:val="008B7479"/>
    <w:rsid w:val="008D347D"/>
    <w:rsid w:val="008D7B7D"/>
    <w:rsid w:val="008E5402"/>
    <w:rsid w:val="009140DC"/>
    <w:rsid w:val="0091708E"/>
    <w:rsid w:val="00932654"/>
    <w:rsid w:val="00933637"/>
    <w:rsid w:val="00937120"/>
    <w:rsid w:val="00963599"/>
    <w:rsid w:val="00972521"/>
    <w:rsid w:val="009A02EF"/>
    <w:rsid w:val="009B207A"/>
    <w:rsid w:val="009B3B0C"/>
    <w:rsid w:val="009B68CA"/>
    <w:rsid w:val="009C4B35"/>
    <w:rsid w:val="009D1AF0"/>
    <w:rsid w:val="009E0D44"/>
    <w:rsid w:val="009E15D4"/>
    <w:rsid w:val="009E6402"/>
    <w:rsid w:val="00A06C79"/>
    <w:rsid w:val="00A132FF"/>
    <w:rsid w:val="00A15687"/>
    <w:rsid w:val="00A23AD2"/>
    <w:rsid w:val="00A46290"/>
    <w:rsid w:val="00A55CC0"/>
    <w:rsid w:val="00A6152D"/>
    <w:rsid w:val="00A75627"/>
    <w:rsid w:val="00A83F0D"/>
    <w:rsid w:val="00A852DC"/>
    <w:rsid w:val="00A95CC5"/>
    <w:rsid w:val="00AA300B"/>
    <w:rsid w:val="00AB7877"/>
    <w:rsid w:val="00AC4430"/>
    <w:rsid w:val="00AE7BF6"/>
    <w:rsid w:val="00B01C45"/>
    <w:rsid w:val="00B21DAF"/>
    <w:rsid w:val="00B25FFC"/>
    <w:rsid w:val="00B37A55"/>
    <w:rsid w:val="00B52825"/>
    <w:rsid w:val="00B5710B"/>
    <w:rsid w:val="00B57CC1"/>
    <w:rsid w:val="00B617BC"/>
    <w:rsid w:val="00B63787"/>
    <w:rsid w:val="00B64BEA"/>
    <w:rsid w:val="00B6535F"/>
    <w:rsid w:val="00B73276"/>
    <w:rsid w:val="00B80B2F"/>
    <w:rsid w:val="00B90EAF"/>
    <w:rsid w:val="00BA4089"/>
    <w:rsid w:val="00BB4A5F"/>
    <w:rsid w:val="00BB580B"/>
    <w:rsid w:val="00BD4DEF"/>
    <w:rsid w:val="00BD54A4"/>
    <w:rsid w:val="00BD7768"/>
    <w:rsid w:val="00BE425B"/>
    <w:rsid w:val="00BF2205"/>
    <w:rsid w:val="00BF32B8"/>
    <w:rsid w:val="00C02D00"/>
    <w:rsid w:val="00C055C3"/>
    <w:rsid w:val="00C25559"/>
    <w:rsid w:val="00C361D6"/>
    <w:rsid w:val="00C369AA"/>
    <w:rsid w:val="00C52A8F"/>
    <w:rsid w:val="00C52E20"/>
    <w:rsid w:val="00C70219"/>
    <w:rsid w:val="00C81EE0"/>
    <w:rsid w:val="00C824DD"/>
    <w:rsid w:val="00C8333D"/>
    <w:rsid w:val="00C842B7"/>
    <w:rsid w:val="00C94B8C"/>
    <w:rsid w:val="00C97EFF"/>
    <w:rsid w:val="00CC3EBB"/>
    <w:rsid w:val="00CD2842"/>
    <w:rsid w:val="00CD79DD"/>
    <w:rsid w:val="00CE1395"/>
    <w:rsid w:val="00CE57A0"/>
    <w:rsid w:val="00CF46E8"/>
    <w:rsid w:val="00CF6902"/>
    <w:rsid w:val="00D1414F"/>
    <w:rsid w:val="00D1510D"/>
    <w:rsid w:val="00D23733"/>
    <w:rsid w:val="00D26C8D"/>
    <w:rsid w:val="00D53643"/>
    <w:rsid w:val="00D56B4C"/>
    <w:rsid w:val="00D62177"/>
    <w:rsid w:val="00D636E4"/>
    <w:rsid w:val="00D664B3"/>
    <w:rsid w:val="00D801D1"/>
    <w:rsid w:val="00D874F1"/>
    <w:rsid w:val="00D9146B"/>
    <w:rsid w:val="00D914F9"/>
    <w:rsid w:val="00D940EA"/>
    <w:rsid w:val="00DB31CA"/>
    <w:rsid w:val="00DB3DE2"/>
    <w:rsid w:val="00DB4A2A"/>
    <w:rsid w:val="00DB714E"/>
    <w:rsid w:val="00DD0428"/>
    <w:rsid w:val="00DD511D"/>
    <w:rsid w:val="00DD56D4"/>
    <w:rsid w:val="00DD750B"/>
    <w:rsid w:val="00DE59DF"/>
    <w:rsid w:val="00DE6153"/>
    <w:rsid w:val="00DF668B"/>
    <w:rsid w:val="00DF7C72"/>
    <w:rsid w:val="00E00183"/>
    <w:rsid w:val="00E015D7"/>
    <w:rsid w:val="00E06499"/>
    <w:rsid w:val="00E13BB8"/>
    <w:rsid w:val="00E22F7C"/>
    <w:rsid w:val="00E31E47"/>
    <w:rsid w:val="00E4738B"/>
    <w:rsid w:val="00E637B2"/>
    <w:rsid w:val="00E6543E"/>
    <w:rsid w:val="00E83816"/>
    <w:rsid w:val="00E9133E"/>
    <w:rsid w:val="00E96441"/>
    <w:rsid w:val="00EC0A99"/>
    <w:rsid w:val="00EC4E17"/>
    <w:rsid w:val="00EF6351"/>
    <w:rsid w:val="00EF74A6"/>
    <w:rsid w:val="00F07991"/>
    <w:rsid w:val="00F1587F"/>
    <w:rsid w:val="00F25C98"/>
    <w:rsid w:val="00F32A57"/>
    <w:rsid w:val="00F439FC"/>
    <w:rsid w:val="00F50813"/>
    <w:rsid w:val="00F54C8E"/>
    <w:rsid w:val="00F60085"/>
    <w:rsid w:val="00F677DE"/>
    <w:rsid w:val="00F82827"/>
    <w:rsid w:val="00F92382"/>
    <w:rsid w:val="00F94744"/>
    <w:rsid w:val="00F96106"/>
    <w:rsid w:val="00FA4909"/>
    <w:rsid w:val="00FB1089"/>
    <w:rsid w:val="00FB7B01"/>
    <w:rsid w:val="00FC1100"/>
    <w:rsid w:val="00FC31EC"/>
    <w:rsid w:val="00FC6E6A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4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205"/>
  </w:style>
  <w:style w:type="paragraph" w:styleId="Zpat">
    <w:name w:val="footer"/>
    <w:basedOn w:val="Normln"/>
    <w:link w:val="ZpatChar"/>
    <w:uiPriority w:val="99"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205"/>
  </w:style>
  <w:style w:type="paragraph" w:styleId="Textbubliny">
    <w:name w:val="Balloon Text"/>
    <w:basedOn w:val="Normln"/>
    <w:link w:val="TextbublinyChar"/>
    <w:uiPriority w:val="99"/>
    <w:semiHidden/>
    <w:unhideWhenUsed/>
    <w:rsid w:val="006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230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D6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B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B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BA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0E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0E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0E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AA3A-B3A4-4748-A3CA-B61B2C68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1873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4</cp:revision>
  <dcterms:created xsi:type="dcterms:W3CDTF">2016-08-16T07:59:00Z</dcterms:created>
  <dcterms:modified xsi:type="dcterms:W3CDTF">2016-08-18T06:59:00Z</dcterms:modified>
</cp:coreProperties>
</file>