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DB1FE9" w:rsidTr="00457528">
        <w:tc>
          <w:tcPr>
            <w:tcW w:w="2093" w:type="dxa"/>
            <w:vAlign w:val="center"/>
          </w:tcPr>
          <w:p w:rsidR="005B1309" w:rsidRPr="00DB1FE9" w:rsidRDefault="005B1309" w:rsidP="00457528">
            <w:pPr>
              <w:rPr>
                <w:b/>
              </w:rPr>
            </w:pPr>
            <w:r w:rsidRPr="00DB1FE9">
              <w:rPr>
                <w:b/>
              </w:rPr>
              <w:t>Název materiálu:</w:t>
            </w:r>
          </w:p>
        </w:tc>
        <w:tc>
          <w:tcPr>
            <w:tcW w:w="7229" w:type="dxa"/>
            <w:vAlign w:val="center"/>
          </w:tcPr>
          <w:p w:rsidR="005B1309" w:rsidRPr="00DB1FE9" w:rsidRDefault="005728B7" w:rsidP="005728B7">
            <w:pPr>
              <w:autoSpaceDE w:val="0"/>
              <w:autoSpaceDN w:val="0"/>
              <w:adjustRightInd w:val="0"/>
              <w:rPr>
                <w:b/>
              </w:rPr>
            </w:pPr>
            <w:r w:rsidRPr="00DB1FE9">
              <w:rPr>
                <w:rFonts w:cs="Tahoma"/>
                <w:b/>
              </w:rPr>
              <w:t xml:space="preserve">123/16 Aktualizace Státní politiky životního prostředí ČR 2012 – 2020; T: 17. 6. 2016 </w:t>
            </w:r>
            <w:r w:rsidR="006C0C8D" w:rsidRPr="00DB1FE9">
              <w:rPr>
                <w:rFonts w:cs="Tahoma"/>
              </w:rPr>
              <w:t xml:space="preserve">(zveřejněno </w:t>
            </w:r>
            <w:proofErr w:type="spellStart"/>
            <w:r w:rsidR="006C0C8D" w:rsidRPr="00DB1FE9">
              <w:rPr>
                <w:rFonts w:cs="Tahoma"/>
              </w:rPr>
              <w:t>HK</w:t>
            </w:r>
            <w:proofErr w:type="spellEnd"/>
            <w:r w:rsidR="006C0C8D" w:rsidRPr="00DB1FE9">
              <w:rPr>
                <w:rFonts w:cs="Tahoma"/>
              </w:rPr>
              <w:t xml:space="preserve"> ČR dne </w:t>
            </w:r>
            <w:r w:rsidRPr="00DB1FE9">
              <w:rPr>
                <w:rFonts w:cs="Tahoma"/>
              </w:rPr>
              <w:t>3</w:t>
            </w:r>
            <w:r w:rsidR="006C0C8D" w:rsidRPr="00DB1FE9">
              <w:rPr>
                <w:rFonts w:cs="Tahoma"/>
              </w:rPr>
              <w:t xml:space="preserve">. </w:t>
            </w:r>
            <w:r w:rsidRPr="00DB1FE9">
              <w:rPr>
                <w:rFonts w:cs="Tahoma"/>
              </w:rPr>
              <w:t>6</w:t>
            </w:r>
            <w:r w:rsidR="006C0C8D" w:rsidRPr="00DB1FE9">
              <w:rPr>
                <w:rFonts w:cs="Tahoma"/>
              </w:rPr>
              <w:t>. 2016)</w:t>
            </w:r>
          </w:p>
        </w:tc>
      </w:tr>
      <w:tr w:rsidR="005B1309" w:rsidRPr="00DB1FE9" w:rsidTr="00457528">
        <w:tc>
          <w:tcPr>
            <w:tcW w:w="2093" w:type="dxa"/>
            <w:vAlign w:val="center"/>
          </w:tcPr>
          <w:p w:rsidR="005B1309" w:rsidRPr="00DB1FE9" w:rsidRDefault="005B1309" w:rsidP="00457528">
            <w:pPr>
              <w:rPr>
                <w:b/>
              </w:rPr>
            </w:pPr>
            <w:r w:rsidRPr="00DB1FE9">
              <w:rPr>
                <w:b/>
              </w:rPr>
              <w:t>Jméno</w:t>
            </w:r>
            <w:r w:rsidR="00C20D51" w:rsidRPr="00DB1FE9">
              <w:rPr>
                <w:b/>
              </w:rPr>
              <w:t xml:space="preserve"> (telefon)</w:t>
            </w:r>
            <w:r w:rsidRPr="00DB1FE9"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5B1309" w:rsidRPr="00DB1FE9" w:rsidRDefault="008A71EA" w:rsidP="005728B7">
            <w:r w:rsidRPr="00DB1FE9">
              <w:t>Tomáš Pecánek</w:t>
            </w:r>
            <w:r w:rsidR="00DB27B8" w:rsidRPr="00DB1FE9">
              <w:t xml:space="preserve"> (602 560 771)</w:t>
            </w:r>
          </w:p>
        </w:tc>
      </w:tr>
      <w:tr w:rsidR="005B1309" w:rsidRPr="00DB1FE9" w:rsidTr="00457528">
        <w:tc>
          <w:tcPr>
            <w:tcW w:w="2093" w:type="dxa"/>
            <w:vAlign w:val="center"/>
          </w:tcPr>
          <w:p w:rsidR="005B1309" w:rsidRPr="00DB1FE9" w:rsidRDefault="005B1309" w:rsidP="00457528">
            <w:pPr>
              <w:rPr>
                <w:b/>
              </w:rPr>
            </w:pPr>
            <w:r w:rsidRPr="00DB1FE9">
              <w:rPr>
                <w:b/>
              </w:rPr>
              <w:t>e-mail:</w:t>
            </w:r>
          </w:p>
        </w:tc>
        <w:tc>
          <w:tcPr>
            <w:tcW w:w="7229" w:type="dxa"/>
            <w:vAlign w:val="center"/>
          </w:tcPr>
          <w:p w:rsidR="00535019" w:rsidRPr="00DB1FE9" w:rsidRDefault="00ED03F0" w:rsidP="005728B7">
            <w:hyperlink r:id="rId8" w:history="1">
              <w:proofErr w:type="spellStart"/>
              <w:r w:rsidR="0077334E" w:rsidRPr="00DB1FE9">
                <w:rPr>
                  <w:rStyle w:val="Hypertextovodkaz"/>
                  <w:color w:val="auto"/>
                </w:rPr>
                <w:t>tomas.pecanek</w:t>
              </w:r>
              <w:proofErr w:type="spellEnd"/>
              <w:r w:rsidR="0077334E" w:rsidRPr="00DB1FE9">
                <w:rPr>
                  <w:rStyle w:val="Hypertextovodkaz"/>
                  <w:color w:val="auto"/>
                </w:rPr>
                <w:t>@</w:t>
              </w:r>
              <w:proofErr w:type="spellStart"/>
              <w:r w:rsidR="0077334E" w:rsidRPr="00DB1FE9">
                <w:rPr>
                  <w:rStyle w:val="Hypertextovodkaz"/>
                  <w:color w:val="auto"/>
                </w:rPr>
                <w:t>cgoa.cz</w:t>
              </w:r>
              <w:proofErr w:type="spellEnd"/>
            </w:hyperlink>
          </w:p>
        </w:tc>
      </w:tr>
    </w:tbl>
    <w:p w:rsidR="008A71EA" w:rsidRPr="00DB1FE9" w:rsidRDefault="008A71EA" w:rsidP="00E02E9C">
      <w:pPr>
        <w:tabs>
          <w:tab w:val="left" w:pos="567"/>
        </w:tabs>
        <w:spacing w:after="0" w:line="240" w:lineRule="auto"/>
        <w:jc w:val="both"/>
      </w:pPr>
    </w:p>
    <w:p w:rsidR="00E91D64" w:rsidRPr="00DB1FE9" w:rsidRDefault="00E91D64" w:rsidP="00E91D64">
      <w:pPr>
        <w:tabs>
          <w:tab w:val="left" w:pos="567"/>
        </w:tabs>
        <w:spacing w:after="0" w:line="240" w:lineRule="auto"/>
        <w:jc w:val="both"/>
        <w:rPr>
          <w:b/>
        </w:rPr>
      </w:pPr>
      <w:r w:rsidRPr="00DB1FE9">
        <w:rPr>
          <w:b/>
        </w:rPr>
        <w:t>C.</w:t>
      </w:r>
      <w:r w:rsidRPr="00DB1FE9">
        <w:rPr>
          <w:b/>
        </w:rPr>
        <w:tab/>
        <w:t>ZÁSADNÍ KONKRÉTNÍ PŘIPOMÍNK</w:t>
      </w:r>
      <w:r w:rsidR="005728B7" w:rsidRPr="00DB1FE9">
        <w:rPr>
          <w:b/>
        </w:rPr>
        <w:t>Y</w:t>
      </w:r>
    </w:p>
    <w:p w:rsidR="00E91D64" w:rsidRPr="00DB1FE9" w:rsidRDefault="00E91D64" w:rsidP="00E91D64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E91D64" w:rsidRPr="00DB1FE9" w:rsidRDefault="00E91D64" w:rsidP="00E9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B1FE9">
        <w:rPr>
          <w:b/>
        </w:rPr>
        <w:t xml:space="preserve">Připomínka </w:t>
      </w:r>
      <w:r w:rsidR="005728B7" w:rsidRPr="00DB1FE9">
        <w:rPr>
          <w:b/>
        </w:rPr>
        <w:t>str. 12</w:t>
      </w:r>
    </w:p>
    <w:p w:rsidR="005728B7" w:rsidRPr="00DB1FE9" w:rsidRDefault="005728B7" w:rsidP="00E9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>Navrhujeme na str. 12 (úplného znění) doplnit před poslední větu prvního odstavce novou větu, která zní: „ČR se usnesením vlády č. 923 ze dne 4. prosince 2013 rozhodla zvolit při naplňování stanoveného cíle alternativní schéma.“</w:t>
      </w:r>
    </w:p>
    <w:p w:rsidR="00E91D64" w:rsidRPr="00DB1FE9" w:rsidRDefault="00E91D64" w:rsidP="00E9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91D64" w:rsidRPr="00DB1FE9" w:rsidRDefault="00E91D64" w:rsidP="00E91D6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DB1FE9">
        <w:rPr>
          <w:b/>
        </w:rPr>
        <w:t>Odůvodnění:</w:t>
      </w:r>
    </w:p>
    <w:p w:rsidR="005728B7" w:rsidRPr="00DB1FE9" w:rsidRDefault="005728B7" w:rsidP="00E91D6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DB1FE9">
        <w:t xml:space="preserve">Alternativní schéma obsahuje politická opatření, jejichž cíle se kryjí s cíly stanovenými </w:t>
      </w:r>
      <w:proofErr w:type="spellStart"/>
      <w:r w:rsidRPr="00DB1FE9">
        <w:t>SPŽP</w:t>
      </w:r>
      <w:proofErr w:type="spellEnd"/>
      <w:r w:rsidRPr="00DB1FE9">
        <w:t>.</w:t>
      </w:r>
    </w:p>
    <w:p w:rsidR="005728B7" w:rsidRPr="00DB1FE9" w:rsidRDefault="005728B7" w:rsidP="005728B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B1FE9">
        <w:rPr>
          <w:b/>
        </w:rPr>
        <w:t>Připomínka str. 24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 xml:space="preserve">V. Strategická a implementační část 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>1.2 Předcházení vzniku odpadů, zajištění jejich maximálního využití a omezování jejich negativního vlivu na životní prostředí. Podpora využívání odpadů jako náhrady přírodních zdrojů (str. 24 úplného znění)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 xml:space="preserve">Domníváme se, že materiál by si zasloužil detailnější rozpracování jednotlivých způsobů nakládání s odpady. U každého by měl adresně stanovit cíl, příslušná opatření a nástroje. V opatření </w:t>
      </w:r>
      <w:proofErr w:type="spellStart"/>
      <w:r w:rsidRPr="00DB1FE9">
        <w:t>1.2.1.N.1</w:t>
      </w:r>
      <w:proofErr w:type="spellEnd"/>
      <w:r w:rsidRPr="00DB1FE9">
        <w:t xml:space="preserve"> (str. 26 úplného znění) navrhujeme vypustit text „(tzn. energetického využití)“. Opatření (nově) 1.2.2.7 (str. 27 úplného znění) navrhujeme vypustit zcela.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DB1FE9">
        <w:rPr>
          <w:b/>
        </w:rPr>
        <w:t>Odůvodnění:</w:t>
      </w: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DB1FE9">
        <w:t>Přestože v úvodu kapitoly je konstatováno, že nezbytným předpokladem pro naplňování požadavků legislativy EU je dodržování hierarchie nakládání s odpady, další text je věnován převážně okrajovým způsobům nakládání s odpady, předcházení vzniku odpadů a odstraňování odpadů. U zbývajících způsobů nakládání s odpady  - přípravě k opětovnému použití, recyklaci odpadů a jinému využití odpadů – je hierarchizace opuštěna a pod jednotným názvem „materiálové a energetické využití odpadů“ jsou tyto způsoby nakládání s odpady postaveny na roveň se sjednocujícím cílem jejich maximalizace. Opětovné použití, recyklace a jiné využití jsou odlišné způsoby vyžadující odlišné přístupy, které by měly být zohledněny v osobitých opatřeních. Smyslem moderního nakládání s odpady je nekončící přesměrovávání objemu vzniklých odpadů od způsobu likvidace z nižších úrovní hierarchie k vyšším až ideálně k (v praxi nedosažitelné) úrovni nejvyšší. Stávající míra skládkování může být považována za nejvýznamnější a neodkladný problém, smysluplným řešením ani cílem nemůže být jednorázové přesměrování veškerého odpadu ze skládek do spaloven (materiál předjímá tezi, že jde o řešení nejlevnější, které stanoveným cílem zdražit skládkování nad náklady spalování vzápětí potvrzuje). K problematice je nutné přistupovat komplexně, nejvyšší prioritu by v rozporu s návrhem měly mít naopak způsoby nakládání s odpady z horních úrovní hierarchie za současného plnění nákladově efektivního řešení.</w:t>
      </w:r>
    </w:p>
    <w:p w:rsidR="005728B7" w:rsidRPr="00DB1FE9" w:rsidRDefault="005728B7" w:rsidP="005728B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B1FE9">
        <w:rPr>
          <w:b/>
        </w:rPr>
        <w:t>Připomínka str. 36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 xml:space="preserve">Doporučujeme zcela vypustit opatření (nově) 2.1.1.2 (str. 36 úplného znění) „Analyzovat varianty řešení a navrhnout zdanění emisí mimo EU </w:t>
      </w:r>
      <w:proofErr w:type="spellStart"/>
      <w:r w:rsidRPr="00DB1FE9">
        <w:t>ETS</w:t>
      </w:r>
      <w:proofErr w:type="spellEnd"/>
      <w:r w:rsidRPr="00DB1FE9">
        <w:t xml:space="preserve"> (zavedení uhlíkové daně v souladu s výsledky úkolů </w:t>
      </w:r>
      <w:proofErr w:type="spellStart"/>
      <w:r w:rsidRPr="00DB1FE9">
        <w:t>NPSE</w:t>
      </w:r>
      <w:proofErr w:type="spellEnd"/>
      <w:r w:rsidRPr="00DB1FE9">
        <w:t xml:space="preserve"> a SEK)“.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DB1FE9">
        <w:rPr>
          <w:b/>
        </w:rPr>
        <w:t>Odůvodnění:</w:t>
      </w: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DB1FE9">
        <w:t xml:space="preserve">Původní opatření „Zavést účinné nástroje na snižování emisí v sektorech nespadajících pod systém EU </w:t>
      </w:r>
      <w:proofErr w:type="spellStart"/>
      <w:r w:rsidRPr="00DB1FE9">
        <w:t>ETS</w:t>
      </w:r>
      <w:proofErr w:type="spellEnd"/>
      <w:r w:rsidRPr="00DB1FE9">
        <w:t xml:space="preserve">“, bylo naplněno přijetím směrnic o </w:t>
      </w:r>
      <w:proofErr w:type="spellStart"/>
      <w:r w:rsidRPr="00DB1FE9">
        <w:t>ekodesignu</w:t>
      </w:r>
      <w:proofErr w:type="spellEnd"/>
      <w:r w:rsidRPr="00DB1FE9">
        <w:t xml:space="preserve"> a o středních spalovacích zdrojích. Díky těmto směrnicím lze na trhu pořídit pouze zařízení, která v daném okamžiku dosahují nejlepších technicky dosažitelné emisní parametry a účinnost. Provozovatel v podstatě nemá </w:t>
      </w:r>
      <w:r w:rsidRPr="00DB1FE9">
        <w:lastRenderedPageBreak/>
        <w:t xml:space="preserve">možnost parametry zařízení jakkoliv ovlivnit. Náklady na vývoj špičkových zařízení hradí investor v pořizovací ceně. Provozování  malých a středních zdrojů není oproti zařízením spadajícím pod EU </w:t>
      </w:r>
      <w:proofErr w:type="spellStart"/>
      <w:r w:rsidRPr="00DB1FE9">
        <w:t>ETS</w:t>
      </w:r>
      <w:proofErr w:type="spellEnd"/>
      <w:r w:rsidRPr="00DB1FE9">
        <w:t xml:space="preserve"> nijak zvýhodněn. Zavedení uhlové daně (vedle daně spotřební a ekologické) nijak nepřispěje ke snížení emisí, pouze zdraží provoz těchto zařízení. U velkých zdrojů je situace opačná. Provozovatel je díky EU </w:t>
      </w:r>
      <w:proofErr w:type="spellStart"/>
      <w:r w:rsidRPr="00DB1FE9">
        <w:t>ETS</w:t>
      </w:r>
      <w:proofErr w:type="spellEnd"/>
      <w:r w:rsidRPr="00DB1FE9">
        <w:t xml:space="preserve"> motivován ke snižování emisí a má při tom možnost volby. Buď investuje do opatření ke snížení emisí a tím uspoří na nákupu povolenek nebo rezignuje na investiční opatření, avšak s vidinou čím dál nákladnějšího provozu až do fáze jeho odstavení z ekonomických důvodů. Snižování emisí je zde možností volby.</w:t>
      </w:r>
    </w:p>
    <w:p w:rsidR="005728B7" w:rsidRPr="00DB1FE9" w:rsidRDefault="005728B7" w:rsidP="005728B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B1FE9">
        <w:rPr>
          <w:b/>
        </w:rPr>
        <w:t>Připomínka str. 37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 xml:space="preserve">Doporučujeme vypustit text „a zvyšovat využití </w:t>
      </w:r>
      <w:proofErr w:type="spellStart"/>
      <w:r w:rsidRPr="00DB1FE9">
        <w:t>DZE</w:t>
      </w:r>
      <w:proofErr w:type="spellEnd"/>
      <w:r w:rsidRPr="00DB1FE9">
        <w:t xml:space="preserve"> v oblasti energetického využití odpadů“ v opatření 2.1.1.6 (str. 37 úplného znění) pro nesmyslnost.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DB1FE9">
        <w:rPr>
          <w:b/>
        </w:rPr>
        <w:t>Odůvodnění:</w:t>
      </w: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DB1FE9">
        <w:t xml:space="preserve">Obtížně si lze představit, jakým způsobem přispěje využívání </w:t>
      </w:r>
      <w:proofErr w:type="spellStart"/>
      <w:r w:rsidRPr="00DB1FE9">
        <w:t>DZE</w:t>
      </w:r>
      <w:proofErr w:type="spellEnd"/>
      <w:r w:rsidRPr="00DB1FE9">
        <w:t xml:space="preserve">, tedy spalování odpadů, k dosažení stanoveného cíle, kterým je snižování emisí skleníkových plynů. Nahrazování fosilních paliv </w:t>
      </w:r>
      <w:proofErr w:type="spellStart"/>
      <w:r w:rsidRPr="00DB1FE9">
        <w:t>DZE</w:t>
      </w:r>
      <w:proofErr w:type="spellEnd"/>
      <w:r w:rsidRPr="00DB1FE9">
        <w:t xml:space="preserve"> namísto </w:t>
      </w:r>
      <w:proofErr w:type="spellStart"/>
      <w:r w:rsidRPr="00DB1FE9">
        <w:t>OZE</w:t>
      </w:r>
      <w:proofErr w:type="spellEnd"/>
      <w:r w:rsidRPr="00DB1FE9">
        <w:t xml:space="preserve"> může být za jistých podmínek ekonomicky výhodné, ke snížení emisí (na rozdíl od využívání </w:t>
      </w:r>
      <w:proofErr w:type="spellStart"/>
      <w:r w:rsidRPr="00DB1FE9">
        <w:t>OZE</w:t>
      </w:r>
      <w:proofErr w:type="spellEnd"/>
      <w:r w:rsidRPr="00DB1FE9">
        <w:t>) nepovede.</w:t>
      </w:r>
    </w:p>
    <w:p w:rsidR="005728B7" w:rsidRPr="00DB1FE9" w:rsidRDefault="005728B7" w:rsidP="005728B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B1FE9">
        <w:rPr>
          <w:b/>
        </w:rPr>
        <w:t>Připomínka str. 125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>Indikátor 1.2.3 Struktura nakládání s odpady (str. 125) navrhujeme detailněji členit dle jednotlivých způsobů nakládání s odpady – viz připomínka ke kapitole 1.2 (str. 24 úplného znění).</w:t>
      </w:r>
    </w:p>
    <w:p w:rsidR="005728B7" w:rsidRPr="00DB1FE9" w:rsidRDefault="005728B7" w:rsidP="005728B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B1FE9">
        <w:rPr>
          <w:b/>
        </w:rPr>
        <w:t>Připomínka str. 125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 w:rsidRPr="00DB1FE9">
        <w:t>Požadujeme zdůvodnit návrh na vyřazení indikátoru (str. 125) „Celková kapacita zařízení pro využívání odpadu – indikátor hodnotí celkovou projektovanou kapacitu zařízení pro využívání všech odpadů, mezi které patří zejména zařízení pro recyklaci odpadů, zařízení k úpravě, využití a odstraňování odpadů. Pozornost je věnována především zařízením na materiálové a energetické využití odpadů.“</w:t>
      </w:r>
    </w:p>
    <w:p w:rsidR="005728B7" w:rsidRPr="00DB1FE9" w:rsidRDefault="005728B7" w:rsidP="0057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DB1FE9">
        <w:rPr>
          <w:b/>
        </w:rPr>
        <w:t>Odůvodnění:</w:t>
      </w:r>
    </w:p>
    <w:p w:rsidR="005728B7" w:rsidRPr="00DB1FE9" w:rsidRDefault="005728B7" w:rsidP="005728B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DB1FE9">
        <w:t xml:space="preserve">Považujeme vyřazení indikátoru za nevhodné. Informace o kapacitách zařízení pro využívání odpadů ve spojitosti se znalostí informace o objemových tocích jednotlivých druhů odpadů je směrodatná pro další směřování opatření politiky odpadového hospodářství. Může být mimo jiné podkladem pro průřezové nástroje pro realizaci politiky </w:t>
      </w:r>
      <w:proofErr w:type="spellStart"/>
      <w:r w:rsidRPr="00DB1FE9">
        <w:t>ŽP</w:t>
      </w:r>
      <w:proofErr w:type="spellEnd"/>
      <w:r w:rsidRPr="00DB1FE9">
        <w:t xml:space="preserve"> jako např. </w:t>
      </w:r>
      <w:proofErr w:type="spellStart"/>
      <w:r w:rsidRPr="00DB1FE9">
        <w:t>N.E.1</w:t>
      </w:r>
      <w:proofErr w:type="spellEnd"/>
      <w:r w:rsidRPr="00DB1FE9">
        <w:t xml:space="preserve"> Optimalizovat nastavení podpor v oblasti životního prostředí (</w:t>
      </w:r>
      <w:proofErr w:type="spellStart"/>
      <w:r w:rsidRPr="00DB1FE9">
        <w:t>PRV</w:t>
      </w:r>
      <w:proofErr w:type="spellEnd"/>
      <w:r w:rsidRPr="00DB1FE9">
        <w:t xml:space="preserve">, Operační programy, národní programy aj.) s cílem posílit pozitivní synergické efekty v oblasti životního prostředí a vyloučit negativní dopady, </w:t>
      </w:r>
      <w:proofErr w:type="spellStart"/>
      <w:r w:rsidRPr="00DB1FE9">
        <w:t>N.E.2</w:t>
      </w:r>
      <w:proofErr w:type="spellEnd"/>
      <w:r w:rsidRPr="00DB1FE9">
        <w:t xml:space="preserve"> Zavést hodnocení možných negativních dopadů na životní prostředí do procesu přípravy nových podpor (např. dotačních programů, daňových zvýhodnění) na základě metodiky, kterou zpracuje MŽP, a tím zabránit nežádoucímu zavádění podpor s významnými negativními dopady na </w:t>
      </w:r>
      <w:proofErr w:type="spellStart"/>
      <w:r w:rsidRPr="00DB1FE9">
        <w:t>ŽP</w:t>
      </w:r>
      <w:proofErr w:type="spellEnd"/>
      <w:r w:rsidRPr="00DB1FE9">
        <w:t xml:space="preserve"> nebo </w:t>
      </w:r>
      <w:proofErr w:type="spellStart"/>
      <w:r w:rsidRPr="00DB1FE9">
        <w:t>N.E.3</w:t>
      </w:r>
      <w:proofErr w:type="spellEnd"/>
      <w:r w:rsidRPr="00DB1FE9">
        <w:t xml:space="preserve"> Pravidelně analyzovat efekty poplatků ve složkových zákonech a v případě potřeby navrhnout jejich úpravu s ohledem na dosahování cílů </w:t>
      </w:r>
      <w:proofErr w:type="spellStart"/>
      <w:r w:rsidRPr="00DB1FE9">
        <w:t>SPŽP</w:t>
      </w:r>
      <w:proofErr w:type="spellEnd"/>
      <w:r w:rsidRPr="00DB1FE9">
        <w:t xml:space="preserve"> (str. 170 a 171 úplného znění). </w:t>
      </w:r>
    </w:p>
    <w:p w:rsidR="005728B7" w:rsidRPr="00DB1FE9" w:rsidRDefault="005728B7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728B7" w:rsidRPr="00DB1FE9" w:rsidRDefault="005728B7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728B7" w:rsidRPr="00DB1FE9" w:rsidRDefault="005728B7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E91D64" w:rsidRPr="00DB1FE9" w:rsidRDefault="00E91D64" w:rsidP="0079393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DB1FE9">
        <w:t xml:space="preserve">Praha </w:t>
      </w:r>
      <w:r w:rsidR="005728B7" w:rsidRPr="00DB1FE9">
        <w:t>17</w:t>
      </w:r>
      <w:r w:rsidRPr="00DB1FE9">
        <w:t xml:space="preserve">. </w:t>
      </w:r>
      <w:r w:rsidR="005728B7" w:rsidRPr="00DB1FE9">
        <w:t>června</w:t>
      </w:r>
      <w:r w:rsidRPr="00DB1FE9">
        <w:t xml:space="preserve"> 2016</w:t>
      </w:r>
    </w:p>
    <w:sectPr w:rsidR="00E91D64" w:rsidRPr="00DB1FE9" w:rsidSect="00EF4F6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2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B8" w:rsidRDefault="005574B8" w:rsidP="008A71EA">
      <w:pPr>
        <w:spacing w:after="0" w:line="240" w:lineRule="auto"/>
      </w:pPr>
      <w:r>
        <w:separator/>
      </w:r>
    </w:p>
  </w:endnote>
  <w:endnote w:type="continuationSeparator" w:id="0">
    <w:p w:rsidR="005574B8" w:rsidRDefault="005574B8" w:rsidP="008A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576"/>
      <w:docPartObj>
        <w:docPartGallery w:val="Page Numbers (Bottom of Page)"/>
        <w:docPartUnique/>
      </w:docPartObj>
    </w:sdtPr>
    <w:sdtContent>
      <w:p w:rsidR="0077334E" w:rsidRDefault="00ED03F0">
        <w:pPr>
          <w:pStyle w:val="Zpat"/>
          <w:jc w:val="center"/>
        </w:pPr>
        <w:r>
          <w:fldChar w:fldCharType="begin"/>
        </w:r>
        <w:r w:rsidR="0077334E">
          <w:instrText xml:space="preserve"> PAGE   \* MERGEFORMAT </w:instrText>
        </w:r>
        <w:r>
          <w:fldChar w:fldCharType="separate"/>
        </w:r>
        <w:r w:rsidR="00DB1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A77BD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B8" w:rsidRDefault="005574B8" w:rsidP="008A71EA">
      <w:pPr>
        <w:spacing w:after="0" w:line="240" w:lineRule="auto"/>
      </w:pPr>
      <w:r>
        <w:separator/>
      </w:r>
    </w:p>
  </w:footnote>
  <w:footnote w:type="continuationSeparator" w:id="0">
    <w:p w:rsidR="005574B8" w:rsidRDefault="005574B8" w:rsidP="008A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8A71EA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E" w:rsidRDefault="0077334E" w:rsidP="00EF4F68">
    <w:pPr>
      <w:pStyle w:val="Zhlav"/>
      <w:jc w:val="center"/>
    </w:pPr>
    <w:r w:rsidRPr="00EF4F68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13966"/>
    <w:rsid w:val="00014188"/>
    <w:rsid w:val="0002368B"/>
    <w:rsid w:val="00025760"/>
    <w:rsid w:val="00030F5B"/>
    <w:rsid w:val="00045007"/>
    <w:rsid w:val="00045AAC"/>
    <w:rsid w:val="00057AB0"/>
    <w:rsid w:val="000852E1"/>
    <w:rsid w:val="00085B92"/>
    <w:rsid w:val="000A0935"/>
    <w:rsid w:val="000A22B9"/>
    <w:rsid w:val="000B11D4"/>
    <w:rsid w:val="000B1358"/>
    <w:rsid w:val="000B5F11"/>
    <w:rsid w:val="000C6259"/>
    <w:rsid w:val="000D4DF8"/>
    <w:rsid w:val="000D5667"/>
    <w:rsid w:val="000D5BBA"/>
    <w:rsid w:val="000E5BD7"/>
    <w:rsid w:val="001016C8"/>
    <w:rsid w:val="00102933"/>
    <w:rsid w:val="001109DD"/>
    <w:rsid w:val="00114053"/>
    <w:rsid w:val="001221E6"/>
    <w:rsid w:val="001226B4"/>
    <w:rsid w:val="00125C6B"/>
    <w:rsid w:val="00135594"/>
    <w:rsid w:val="0013564F"/>
    <w:rsid w:val="001400CE"/>
    <w:rsid w:val="00143C7A"/>
    <w:rsid w:val="00145425"/>
    <w:rsid w:val="0014700F"/>
    <w:rsid w:val="0016267E"/>
    <w:rsid w:val="001638BC"/>
    <w:rsid w:val="00165764"/>
    <w:rsid w:val="0017548D"/>
    <w:rsid w:val="00183C02"/>
    <w:rsid w:val="00187623"/>
    <w:rsid w:val="001912F4"/>
    <w:rsid w:val="00193D68"/>
    <w:rsid w:val="001A4E19"/>
    <w:rsid w:val="001A5459"/>
    <w:rsid w:val="001B266B"/>
    <w:rsid w:val="001B5C83"/>
    <w:rsid w:val="001C5B62"/>
    <w:rsid w:val="001E18F7"/>
    <w:rsid w:val="001E276E"/>
    <w:rsid w:val="001E3DE7"/>
    <w:rsid w:val="001E5462"/>
    <w:rsid w:val="001E5BBD"/>
    <w:rsid w:val="001F4636"/>
    <w:rsid w:val="001F5684"/>
    <w:rsid w:val="00201A30"/>
    <w:rsid w:val="00214B27"/>
    <w:rsid w:val="00223089"/>
    <w:rsid w:val="00241F59"/>
    <w:rsid w:val="002515A5"/>
    <w:rsid w:val="00251ED3"/>
    <w:rsid w:val="002541F3"/>
    <w:rsid w:val="00260F6E"/>
    <w:rsid w:val="00260FC6"/>
    <w:rsid w:val="00263AFD"/>
    <w:rsid w:val="00265046"/>
    <w:rsid w:val="00274C02"/>
    <w:rsid w:val="00276473"/>
    <w:rsid w:val="00282836"/>
    <w:rsid w:val="00282BE5"/>
    <w:rsid w:val="00283BE8"/>
    <w:rsid w:val="00292302"/>
    <w:rsid w:val="00294493"/>
    <w:rsid w:val="002A2000"/>
    <w:rsid w:val="002B3746"/>
    <w:rsid w:val="002B5093"/>
    <w:rsid w:val="002B77CA"/>
    <w:rsid w:val="002C5185"/>
    <w:rsid w:val="002C57DD"/>
    <w:rsid w:val="002E3E33"/>
    <w:rsid w:val="002F2828"/>
    <w:rsid w:val="002F4734"/>
    <w:rsid w:val="002F72DB"/>
    <w:rsid w:val="002F792F"/>
    <w:rsid w:val="00302F26"/>
    <w:rsid w:val="00303377"/>
    <w:rsid w:val="003045D5"/>
    <w:rsid w:val="00304CCF"/>
    <w:rsid w:val="00314665"/>
    <w:rsid w:val="0031525C"/>
    <w:rsid w:val="00316A6B"/>
    <w:rsid w:val="0032279B"/>
    <w:rsid w:val="00324F39"/>
    <w:rsid w:val="00325E40"/>
    <w:rsid w:val="003419D1"/>
    <w:rsid w:val="00342EB3"/>
    <w:rsid w:val="00343E43"/>
    <w:rsid w:val="00346CB3"/>
    <w:rsid w:val="00351768"/>
    <w:rsid w:val="00351FC4"/>
    <w:rsid w:val="0036141C"/>
    <w:rsid w:val="00376877"/>
    <w:rsid w:val="0038023F"/>
    <w:rsid w:val="00380BF0"/>
    <w:rsid w:val="00381EA0"/>
    <w:rsid w:val="00383044"/>
    <w:rsid w:val="00385822"/>
    <w:rsid w:val="00386A57"/>
    <w:rsid w:val="003A1AC5"/>
    <w:rsid w:val="003A2D75"/>
    <w:rsid w:val="003B1511"/>
    <w:rsid w:val="003B3ED9"/>
    <w:rsid w:val="003B66B1"/>
    <w:rsid w:val="003C7E14"/>
    <w:rsid w:val="003D224B"/>
    <w:rsid w:val="003D2DAA"/>
    <w:rsid w:val="003E26AC"/>
    <w:rsid w:val="00402E21"/>
    <w:rsid w:val="00404F30"/>
    <w:rsid w:val="00417B0F"/>
    <w:rsid w:val="004238B4"/>
    <w:rsid w:val="004325EC"/>
    <w:rsid w:val="00457528"/>
    <w:rsid w:val="004714FD"/>
    <w:rsid w:val="00472C3D"/>
    <w:rsid w:val="0047349B"/>
    <w:rsid w:val="00475E3F"/>
    <w:rsid w:val="0048475A"/>
    <w:rsid w:val="00490E6F"/>
    <w:rsid w:val="00493533"/>
    <w:rsid w:val="00493E77"/>
    <w:rsid w:val="00494C53"/>
    <w:rsid w:val="004A0854"/>
    <w:rsid w:val="004A1807"/>
    <w:rsid w:val="004B2CE5"/>
    <w:rsid w:val="004C2F0D"/>
    <w:rsid w:val="004C3A0F"/>
    <w:rsid w:val="004D5CCD"/>
    <w:rsid w:val="004E025B"/>
    <w:rsid w:val="004F1002"/>
    <w:rsid w:val="00503560"/>
    <w:rsid w:val="0050702F"/>
    <w:rsid w:val="00520425"/>
    <w:rsid w:val="005210BB"/>
    <w:rsid w:val="00524DCE"/>
    <w:rsid w:val="00534DAE"/>
    <w:rsid w:val="00535019"/>
    <w:rsid w:val="00535CAD"/>
    <w:rsid w:val="00544135"/>
    <w:rsid w:val="005518E2"/>
    <w:rsid w:val="00552556"/>
    <w:rsid w:val="00554BB5"/>
    <w:rsid w:val="005574B8"/>
    <w:rsid w:val="00560910"/>
    <w:rsid w:val="00561947"/>
    <w:rsid w:val="00565008"/>
    <w:rsid w:val="005664DD"/>
    <w:rsid w:val="005728B7"/>
    <w:rsid w:val="0057672A"/>
    <w:rsid w:val="005910E5"/>
    <w:rsid w:val="0059153B"/>
    <w:rsid w:val="0059271A"/>
    <w:rsid w:val="00595359"/>
    <w:rsid w:val="005A7778"/>
    <w:rsid w:val="005B1309"/>
    <w:rsid w:val="005C2631"/>
    <w:rsid w:val="005C6D13"/>
    <w:rsid w:val="005C70D0"/>
    <w:rsid w:val="005E09BE"/>
    <w:rsid w:val="00603BA4"/>
    <w:rsid w:val="00607EC9"/>
    <w:rsid w:val="00610C57"/>
    <w:rsid w:val="006119F9"/>
    <w:rsid w:val="00613210"/>
    <w:rsid w:val="00615072"/>
    <w:rsid w:val="00615630"/>
    <w:rsid w:val="00616828"/>
    <w:rsid w:val="0063510C"/>
    <w:rsid w:val="0065326C"/>
    <w:rsid w:val="00654A3C"/>
    <w:rsid w:val="00657BD4"/>
    <w:rsid w:val="00663593"/>
    <w:rsid w:val="00674FEE"/>
    <w:rsid w:val="00691289"/>
    <w:rsid w:val="0069674C"/>
    <w:rsid w:val="006979BE"/>
    <w:rsid w:val="006A53FB"/>
    <w:rsid w:val="006A70AE"/>
    <w:rsid w:val="006A7A20"/>
    <w:rsid w:val="006C0C8D"/>
    <w:rsid w:val="006C2439"/>
    <w:rsid w:val="006C7CE9"/>
    <w:rsid w:val="006E0563"/>
    <w:rsid w:val="006E379F"/>
    <w:rsid w:val="006E3A8F"/>
    <w:rsid w:val="006E42DC"/>
    <w:rsid w:val="006F4D10"/>
    <w:rsid w:val="0070159A"/>
    <w:rsid w:val="007017D0"/>
    <w:rsid w:val="0070387F"/>
    <w:rsid w:val="007069C5"/>
    <w:rsid w:val="00707B2A"/>
    <w:rsid w:val="007425AB"/>
    <w:rsid w:val="00751BE3"/>
    <w:rsid w:val="0077196D"/>
    <w:rsid w:val="0077211F"/>
    <w:rsid w:val="0077334E"/>
    <w:rsid w:val="00781188"/>
    <w:rsid w:val="0078571A"/>
    <w:rsid w:val="00786B43"/>
    <w:rsid w:val="0079393C"/>
    <w:rsid w:val="007A47BF"/>
    <w:rsid w:val="007B3F0A"/>
    <w:rsid w:val="007E105C"/>
    <w:rsid w:val="007E231F"/>
    <w:rsid w:val="007E31D9"/>
    <w:rsid w:val="007E378D"/>
    <w:rsid w:val="007E58AF"/>
    <w:rsid w:val="007F0909"/>
    <w:rsid w:val="007F5659"/>
    <w:rsid w:val="008148B9"/>
    <w:rsid w:val="0081645A"/>
    <w:rsid w:val="00816AE7"/>
    <w:rsid w:val="00826306"/>
    <w:rsid w:val="00827A6E"/>
    <w:rsid w:val="00832A03"/>
    <w:rsid w:val="00834EBA"/>
    <w:rsid w:val="00837501"/>
    <w:rsid w:val="00837558"/>
    <w:rsid w:val="00844257"/>
    <w:rsid w:val="00844545"/>
    <w:rsid w:val="008457CD"/>
    <w:rsid w:val="0085074D"/>
    <w:rsid w:val="00850B7A"/>
    <w:rsid w:val="008518C3"/>
    <w:rsid w:val="00864678"/>
    <w:rsid w:val="00867D97"/>
    <w:rsid w:val="00870779"/>
    <w:rsid w:val="008734FE"/>
    <w:rsid w:val="00873A04"/>
    <w:rsid w:val="00883EFA"/>
    <w:rsid w:val="008858B9"/>
    <w:rsid w:val="00885B6A"/>
    <w:rsid w:val="00892443"/>
    <w:rsid w:val="008A52AE"/>
    <w:rsid w:val="008A5CC9"/>
    <w:rsid w:val="008A71EA"/>
    <w:rsid w:val="008B1D8A"/>
    <w:rsid w:val="008D0619"/>
    <w:rsid w:val="008D0B67"/>
    <w:rsid w:val="008D27E7"/>
    <w:rsid w:val="008D2FA7"/>
    <w:rsid w:val="008D405A"/>
    <w:rsid w:val="008D471B"/>
    <w:rsid w:val="008E0E82"/>
    <w:rsid w:val="008E140E"/>
    <w:rsid w:val="008F1D8D"/>
    <w:rsid w:val="008F68A2"/>
    <w:rsid w:val="00911ADD"/>
    <w:rsid w:val="0091204B"/>
    <w:rsid w:val="009141DF"/>
    <w:rsid w:val="00933C3B"/>
    <w:rsid w:val="00934F0B"/>
    <w:rsid w:val="00940BF7"/>
    <w:rsid w:val="00940C00"/>
    <w:rsid w:val="009436C1"/>
    <w:rsid w:val="00950081"/>
    <w:rsid w:val="00952847"/>
    <w:rsid w:val="00954DAD"/>
    <w:rsid w:val="00992063"/>
    <w:rsid w:val="0099545D"/>
    <w:rsid w:val="009A08CE"/>
    <w:rsid w:val="009A31E7"/>
    <w:rsid w:val="009B3460"/>
    <w:rsid w:val="009C28C1"/>
    <w:rsid w:val="009D739C"/>
    <w:rsid w:val="009E7201"/>
    <w:rsid w:val="009F2383"/>
    <w:rsid w:val="009F7920"/>
    <w:rsid w:val="00A0284F"/>
    <w:rsid w:val="00A0530A"/>
    <w:rsid w:val="00A11F37"/>
    <w:rsid w:val="00A133C3"/>
    <w:rsid w:val="00A31FFB"/>
    <w:rsid w:val="00A3777E"/>
    <w:rsid w:val="00A43317"/>
    <w:rsid w:val="00A43425"/>
    <w:rsid w:val="00A45A4F"/>
    <w:rsid w:val="00A46FEB"/>
    <w:rsid w:val="00A537D7"/>
    <w:rsid w:val="00A62BC8"/>
    <w:rsid w:val="00A7534C"/>
    <w:rsid w:val="00A77BDA"/>
    <w:rsid w:val="00AA1697"/>
    <w:rsid w:val="00AA2400"/>
    <w:rsid w:val="00AA631C"/>
    <w:rsid w:val="00AC280E"/>
    <w:rsid w:val="00AC3D97"/>
    <w:rsid w:val="00AC6BB7"/>
    <w:rsid w:val="00AD056B"/>
    <w:rsid w:val="00AD4056"/>
    <w:rsid w:val="00AD4F46"/>
    <w:rsid w:val="00AF2A23"/>
    <w:rsid w:val="00AF7610"/>
    <w:rsid w:val="00B05792"/>
    <w:rsid w:val="00B16DBD"/>
    <w:rsid w:val="00B40EC9"/>
    <w:rsid w:val="00B42679"/>
    <w:rsid w:val="00B42B17"/>
    <w:rsid w:val="00B46592"/>
    <w:rsid w:val="00B51194"/>
    <w:rsid w:val="00B74108"/>
    <w:rsid w:val="00B74683"/>
    <w:rsid w:val="00B92D85"/>
    <w:rsid w:val="00B95FF2"/>
    <w:rsid w:val="00BA05C8"/>
    <w:rsid w:val="00BA412F"/>
    <w:rsid w:val="00BA6B3A"/>
    <w:rsid w:val="00BB224C"/>
    <w:rsid w:val="00BB32F8"/>
    <w:rsid w:val="00BB59B5"/>
    <w:rsid w:val="00BD20DA"/>
    <w:rsid w:val="00BD3F8F"/>
    <w:rsid w:val="00BE23DF"/>
    <w:rsid w:val="00BE48F8"/>
    <w:rsid w:val="00BF710E"/>
    <w:rsid w:val="00C002C0"/>
    <w:rsid w:val="00C0253B"/>
    <w:rsid w:val="00C05107"/>
    <w:rsid w:val="00C079A3"/>
    <w:rsid w:val="00C11A85"/>
    <w:rsid w:val="00C16795"/>
    <w:rsid w:val="00C16D20"/>
    <w:rsid w:val="00C20D51"/>
    <w:rsid w:val="00C21CEE"/>
    <w:rsid w:val="00C22CE3"/>
    <w:rsid w:val="00C23208"/>
    <w:rsid w:val="00C23AC1"/>
    <w:rsid w:val="00C24303"/>
    <w:rsid w:val="00C256D2"/>
    <w:rsid w:val="00C3752E"/>
    <w:rsid w:val="00C4220C"/>
    <w:rsid w:val="00C4223E"/>
    <w:rsid w:val="00C42DCD"/>
    <w:rsid w:val="00C55D7B"/>
    <w:rsid w:val="00C82487"/>
    <w:rsid w:val="00C84CED"/>
    <w:rsid w:val="00CA0030"/>
    <w:rsid w:val="00CA0F2E"/>
    <w:rsid w:val="00CC2E86"/>
    <w:rsid w:val="00CC6D5F"/>
    <w:rsid w:val="00CD1A35"/>
    <w:rsid w:val="00CE2836"/>
    <w:rsid w:val="00CF2C3B"/>
    <w:rsid w:val="00D164C4"/>
    <w:rsid w:val="00D16F7D"/>
    <w:rsid w:val="00D23F90"/>
    <w:rsid w:val="00D46FE7"/>
    <w:rsid w:val="00D53803"/>
    <w:rsid w:val="00D65642"/>
    <w:rsid w:val="00D72BC7"/>
    <w:rsid w:val="00D76021"/>
    <w:rsid w:val="00D86343"/>
    <w:rsid w:val="00D93CCB"/>
    <w:rsid w:val="00DA0843"/>
    <w:rsid w:val="00DA1C38"/>
    <w:rsid w:val="00DB0B10"/>
    <w:rsid w:val="00DB1FE9"/>
    <w:rsid w:val="00DB27B8"/>
    <w:rsid w:val="00DC38D4"/>
    <w:rsid w:val="00DC3EB8"/>
    <w:rsid w:val="00DC7121"/>
    <w:rsid w:val="00DD12DE"/>
    <w:rsid w:val="00DD2185"/>
    <w:rsid w:val="00DD3281"/>
    <w:rsid w:val="00DD6F4F"/>
    <w:rsid w:val="00DE06B0"/>
    <w:rsid w:val="00DE3A9D"/>
    <w:rsid w:val="00DE762E"/>
    <w:rsid w:val="00DF344A"/>
    <w:rsid w:val="00DF4040"/>
    <w:rsid w:val="00DF4E91"/>
    <w:rsid w:val="00E01DF3"/>
    <w:rsid w:val="00E02E9C"/>
    <w:rsid w:val="00E05747"/>
    <w:rsid w:val="00E15B76"/>
    <w:rsid w:val="00E15C02"/>
    <w:rsid w:val="00E21C45"/>
    <w:rsid w:val="00E26016"/>
    <w:rsid w:val="00E33561"/>
    <w:rsid w:val="00E4630E"/>
    <w:rsid w:val="00E63203"/>
    <w:rsid w:val="00E703EF"/>
    <w:rsid w:val="00E710D4"/>
    <w:rsid w:val="00E729DC"/>
    <w:rsid w:val="00E7748E"/>
    <w:rsid w:val="00E863E5"/>
    <w:rsid w:val="00E91D64"/>
    <w:rsid w:val="00E96253"/>
    <w:rsid w:val="00EA2745"/>
    <w:rsid w:val="00EA46ED"/>
    <w:rsid w:val="00EB0B12"/>
    <w:rsid w:val="00EB4D14"/>
    <w:rsid w:val="00EB5907"/>
    <w:rsid w:val="00EC7876"/>
    <w:rsid w:val="00ED03F0"/>
    <w:rsid w:val="00EE4F03"/>
    <w:rsid w:val="00EF42CB"/>
    <w:rsid w:val="00EF4F68"/>
    <w:rsid w:val="00F074B5"/>
    <w:rsid w:val="00F115BF"/>
    <w:rsid w:val="00F14DA6"/>
    <w:rsid w:val="00F1590F"/>
    <w:rsid w:val="00F20908"/>
    <w:rsid w:val="00F223EC"/>
    <w:rsid w:val="00F25259"/>
    <w:rsid w:val="00F25C54"/>
    <w:rsid w:val="00F26944"/>
    <w:rsid w:val="00F272C4"/>
    <w:rsid w:val="00F84217"/>
    <w:rsid w:val="00F93C70"/>
    <w:rsid w:val="00FA6174"/>
    <w:rsid w:val="00FB01E4"/>
    <w:rsid w:val="00FB05A2"/>
    <w:rsid w:val="00FB3E1D"/>
    <w:rsid w:val="00FB681B"/>
    <w:rsid w:val="00FB6AEE"/>
    <w:rsid w:val="00FC438F"/>
    <w:rsid w:val="00FC6417"/>
    <w:rsid w:val="00FD4FA8"/>
    <w:rsid w:val="00FF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71EA"/>
  </w:style>
  <w:style w:type="paragraph" w:styleId="Zpat">
    <w:name w:val="footer"/>
    <w:basedOn w:val="Normln"/>
    <w:link w:val="ZpatChar"/>
    <w:uiPriority w:val="99"/>
    <w:unhideWhenUsed/>
    <w:rsid w:val="008A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1EA"/>
  </w:style>
  <w:style w:type="paragraph" w:styleId="Textbubliny">
    <w:name w:val="Balloon Text"/>
    <w:basedOn w:val="Normln"/>
    <w:link w:val="TextbublinyChar"/>
    <w:uiPriority w:val="99"/>
    <w:semiHidden/>
    <w:unhideWhenUsed/>
    <w:rsid w:val="008A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1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6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F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F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F7D"/>
    <w:rPr>
      <w:b/>
      <w:bCs/>
      <w:sz w:val="20"/>
      <w:szCs w:val="20"/>
    </w:rPr>
  </w:style>
  <w:style w:type="paragraph" w:customStyle="1" w:styleId="nadpiszkona">
    <w:name w:val="nadpis zákona"/>
    <w:basedOn w:val="Normln"/>
    <w:next w:val="Normln"/>
    <w:rsid w:val="0031525C"/>
    <w:pPr>
      <w:keepNext/>
      <w:keepLines/>
      <w:spacing w:before="120"/>
      <w:jc w:val="center"/>
      <w:outlineLvl w:val="0"/>
    </w:pPr>
    <w:rPr>
      <w:rFonts w:asciiTheme="minorHAnsi" w:hAnsiTheme="minorHAnsi" w:cstheme="minorBidi"/>
      <w:b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5C6B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C6B"/>
    <w:rPr>
      <w:rFonts w:asciiTheme="minorHAnsi" w:hAnsiTheme="minorHAnsi" w:cstheme="minorBidi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25C6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25C5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char">
    <w:name w:val="normal__char"/>
    <w:rsid w:val="00FB01E4"/>
  </w:style>
  <w:style w:type="paragraph" w:customStyle="1" w:styleId="Hlava">
    <w:name w:val="Hlava"/>
    <w:basedOn w:val="Normln"/>
    <w:next w:val="Normln"/>
    <w:rsid w:val="00FB01E4"/>
    <w:pPr>
      <w:keepNext/>
      <w:keepLines/>
      <w:spacing w:before="240"/>
      <w:jc w:val="center"/>
      <w:outlineLvl w:val="2"/>
    </w:pPr>
    <w:rPr>
      <w:rFonts w:asciiTheme="minorHAnsi" w:hAnsiTheme="minorHAnsi" w:cstheme="minorBidi"/>
      <w:lang w:val="en-US"/>
    </w:rPr>
  </w:style>
  <w:style w:type="paragraph" w:customStyle="1" w:styleId="CM4">
    <w:name w:val="CM4"/>
    <w:basedOn w:val="Normln"/>
    <w:next w:val="Normln"/>
    <w:uiPriority w:val="99"/>
    <w:rsid w:val="00FB01E4"/>
    <w:pPr>
      <w:autoSpaceDE w:val="0"/>
      <w:autoSpaceDN w:val="0"/>
      <w:adjustRightInd w:val="0"/>
    </w:pPr>
    <w:rPr>
      <w:rFonts w:ascii="EUAlbertina" w:hAnsi="EUAlbertina" w:cstheme="minorBidi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773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8FFA-1922-45F9-9873-7E48490F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4</cp:revision>
  <dcterms:created xsi:type="dcterms:W3CDTF">2016-06-13T11:59:00Z</dcterms:created>
  <dcterms:modified xsi:type="dcterms:W3CDTF">2016-10-10T11:43:00Z</dcterms:modified>
</cp:coreProperties>
</file>