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0A0AFC" w:rsidTr="00857009">
        <w:tc>
          <w:tcPr>
            <w:tcW w:w="2093" w:type="dxa"/>
            <w:vAlign w:val="center"/>
          </w:tcPr>
          <w:p w:rsidR="005B1309" w:rsidRPr="000A0AFC" w:rsidRDefault="005B1309" w:rsidP="00A86B2C">
            <w:pPr>
              <w:rPr>
                <w:b/>
              </w:rPr>
            </w:pPr>
            <w:r w:rsidRPr="000A0AFC">
              <w:rPr>
                <w:b/>
              </w:rPr>
              <w:t>Název materiálu:</w:t>
            </w:r>
          </w:p>
        </w:tc>
        <w:tc>
          <w:tcPr>
            <w:tcW w:w="7229" w:type="dxa"/>
          </w:tcPr>
          <w:p w:rsidR="005B1309" w:rsidRPr="000A0AFC" w:rsidRDefault="001C1A49" w:rsidP="00346EAD">
            <w:r w:rsidRPr="000A0AFC">
              <w:rPr>
                <w:b/>
              </w:rPr>
              <w:t xml:space="preserve">Návrh </w:t>
            </w:r>
            <w:r w:rsidR="004A6BD8">
              <w:rPr>
                <w:b/>
              </w:rPr>
              <w:t xml:space="preserve">nařízení vlády </w:t>
            </w:r>
            <w:r w:rsidR="004A6BD8" w:rsidRPr="004A6BD8">
              <w:rPr>
                <w:b/>
              </w:rPr>
              <w:t>o stanovení bližších podmínek pro posouzení přiměřenosti podmínek účasti v</w:t>
            </w:r>
            <w:r w:rsidR="00F20F30">
              <w:rPr>
                <w:b/>
              </w:rPr>
              <w:t> </w:t>
            </w:r>
            <w:r w:rsidR="004A6BD8" w:rsidRPr="004A6BD8">
              <w:rPr>
                <w:b/>
              </w:rPr>
              <w:t>zadávacím</w:t>
            </w:r>
            <w:r w:rsidR="00F20F30">
              <w:rPr>
                <w:b/>
              </w:rPr>
              <w:t xml:space="preserve"> řízení</w:t>
            </w:r>
            <w:r w:rsidR="004B0847">
              <w:rPr>
                <w:b/>
              </w:rPr>
              <w:t xml:space="preserve"> -</w:t>
            </w:r>
            <w:r w:rsidR="0011347F" w:rsidRPr="000A0AFC">
              <w:t xml:space="preserve"> (</w:t>
            </w:r>
            <w:r w:rsidRPr="000A0AFC">
              <w:t xml:space="preserve">zveřejněno na </w:t>
            </w:r>
            <w:r w:rsidR="00D01CB3" w:rsidRPr="000A0AFC">
              <w:t xml:space="preserve">stránkách </w:t>
            </w:r>
            <w:proofErr w:type="spellStart"/>
            <w:r w:rsidRPr="000A0AFC">
              <w:t>HK</w:t>
            </w:r>
            <w:proofErr w:type="spellEnd"/>
            <w:r w:rsidRPr="000A0AFC">
              <w:t xml:space="preserve"> ČR dne </w:t>
            </w:r>
            <w:r w:rsidR="00B93425">
              <w:t>27</w:t>
            </w:r>
            <w:r w:rsidR="007E6A5E" w:rsidRPr="000A0AFC">
              <w:t xml:space="preserve">. </w:t>
            </w:r>
            <w:r w:rsidR="00B93425">
              <w:t>1</w:t>
            </w:r>
            <w:r w:rsidR="007E6A5E" w:rsidRPr="000A0AFC">
              <w:t>. 201</w:t>
            </w:r>
            <w:r w:rsidR="00D01CB3" w:rsidRPr="000A0AFC">
              <w:t>6</w:t>
            </w:r>
            <w:r w:rsidR="007E6A5E" w:rsidRPr="000A0AFC">
              <w:t>)</w:t>
            </w:r>
          </w:p>
        </w:tc>
      </w:tr>
      <w:tr w:rsidR="005B1309" w:rsidRPr="000A0AFC" w:rsidTr="00857009">
        <w:tc>
          <w:tcPr>
            <w:tcW w:w="2093" w:type="dxa"/>
            <w:vAlign w:val="center"/>
          </w:tcPr>
          <w:p w:rsidR="005B1309" w:rsidRPr="000A0AFC" w:rsidRDefault="005B1309" w:rsidP="00A86B2C">
            <w:pPr>
              <w:rPr>
                <w:b/>
              </w:rPr>
            </w:pPr>
            <w:r w:rsidRPr="000A0AFC">
              <w:rPr>
                <w:b/>
              </w:rPr>
              <w:t>Jméno:</w:t>
            </w:r>
          </w:p>
        </w:tc>
        <w:tc>
          <w:tcPr>
            <w:tcW w:w="7229" w:type="dxa"/>
          </w:tcPr>
          <w:p w:rsidR="004A15F9" w:rsidRDefault="00A86B2C" w:rsidP="00D01CB3">
            <w:pPr>
              <w:rPr>
                <w:b/>
              </w:rPr>
            </w:pPr>
            <w:r w:rsidRPr="000A0AFC">
              <w:rPr>
                <w:b/>
              </w:rPr>
              <w:t>Tomáš Pecánek</w:t>
            </w:r>
          </w:p>
          <w:p w:rsidR="004A6BD8" w:rsidRPr="000A0AFC" w:rsidRDefault="004A6BD8" w:rsidP="00D01CB3">
            <w:pPr>
              <w:rPr>
                <w:b/>
              </w:rPr>
            </w:pPr>
            <w:r>
              <w:rPr>
                <w:b/>
              </w:rPr>
              <w:t>František Fejgl</w:t>
            </w:r>
          </w:p>
        </w:tc>
      </w:tr>
      <w:tr w:rsidR="005B1309" w:rsidRPr="000A0AFC" w:rsidTr="00857009">
        <w:tc>
          <w:tcPr>
            <w:tcW w:w="2093" w:type="dxa"/>
            <w:vAlign w:val="center"/>
          </w:tcPr>
          <w:p w:rsidR="005B1309" w:rsidRPr="000A0AFC" w:rsidRDefault="005B1309" w:rsidP="00A86B2C">
            <w:pPr>
              <w:rPr>
                <w:b/>
              </w:rPr>
            </w:pPr>
            <w:r w:rsidRPr="000A0AFC">
              <w:rPr>
                <w:b/>
              </w:rPr>
              <w:t>Telefon</w:t>
            </w:r>
            <w:r w:rsidRPr="000A0AFC">
              <w:rPr>
                <w:b/>
              </w:rPr>
              <w:tab/>
              <w:t>:</w:t>
            </w:r>
          </w:p>
        </w:tc>
        <w:tc>
          <w:tcPr>
            <w:tcW w:w="7229" w:type="dxa"/>
          </w:tcPr>
          <w:p w:rsidR="004A15F9" w:rsidRPr="000A0AFC" w:rsidRDefault="00A86B2C" w:rsidP="00D01CB3">
            <w:pPr>
              <w:rPr>
                <w:b/>
              </w:rPr>
            </w:pPr>
            <w:r w:rsidRPr="000A0AFC">
              <w:rPr>
                <w:b/>
              </w:rPr>
              <w:t>+420 602 560</w:t>
            </w:r>
            <w:r w:rsidR="004A15F9" w:rsidRPr="000A0AFC">
              <w:rPr>
                <w:b/>
              </w:rPr>
              <w:t> </w:t>
            </w:r>
            <w:r w:rsidRPr="000A0AFC">
              <w:rPr>
                <w:b/>
              </w:rPr>
              <w:t>771</w:t>
            </w:r>
          </w:p>
        </w:tc>
      </w:tr>
      <w:tr w:rsidR="005B1309" w:rsidRPr="000A0AFC" w:rsidTr="00857009">
        <w:tc>
          <w:tcPr>
            <w:tcW w:w="2093" w:type="dxa"/>
            <w:vAlign w:val="center"/>
          </w:tcPr>
          <w:p w:rsidR="005B1309" w:rsidRPr="000A0AFC" w:rsidRDefault="005B1309" w:rsidP="00A86B2C">
            <w:pPr>
              <w:rPr>
                <w:b/>
              </w:rPr>
            </w:pPr>
            <w:r w:rsidRPr="000A0AFC">
              <w:rPr>
                <w:b/>
              </w:rPr>
              <w:t>e-mail:</w:t>
            </w:r>
          </w:p>
        </w:tc>
        <w:tc>
          <w:tcPr>
            <w:tcW w:w="7229" w:type="dxa"/>
          </w:tcPr>
          <w:p w:rsidR="005B1309" w:rsidRDefault="003C2C0C" w:rsidP="00857009">
            <w:hyperlink r:id="rId8" w:history="1">
              <w:proofErr w:type="spellStart"/>
              <w:r w:rsidR="00A86B2C" w:rsidRPr="000A0AFC">
                <w:rPr>
                  <w:rStyle w:val="Hypertextovodkaz"/>
                  <w:b/>
                  <w:color w:val="auto"/>
                </w:rPr>
                <w:t>tomas.pecanek</w:t>
              </w:r>
              <w:proofErr w:type="spellEnd"/>
              <w:r w:rsidR="00A86B2C" w:rsidRPr="000A0AFC">
                <w:rPr>
                  <w:rStyle w:val="Hypertextovodkaz"/>
                  <w:b/>
                  <w:color w:val="auto"/>
                </w:rPr>
                <w:t>@</w:t>
              </w:r>
              <w:proofErr w:type="spellStart"/>
              <w:r w:rsidR="00A86B2C" w:rsidRPr="000A0AFC">
                <w:rPr>
                  <w:rStyle w:val="Hypertextovodkaz"/>
                  <w:b/>
                  <w:color w:val="auto"/>
                </w:rPr>
                <w:t>cgoa.cz</w:t>
              </w:r>
              <w:proofErr w:type="spellEnd"/>
            </w:hyperlink>
          </w:p>
          <w:p w:rsidR="004A6BD8" w:rsidRPr="000A0AFC" w:rsidRDefault="004A6BD8" w:rsidP="00857009">
            <w:pPr>
              <w:rPr>
                <w:b/>
              </w:rPr>
            </w:pPr>
            <w:proofErr w:type="spellStart"/>
            <w:r w:rsidRPr="004A6BD8">
              <w:rPr>
                <w:b/>
              </w:rPr>
              <w:t>Frantisek.Fejgl</w:t>
            </w:r>
            <w:proofErr w:type="spellEnd"/>
            <w:r w:rsidRPr="004A6BD8">
              <w:rPr>
                <w:b/>
              </w:rPr>
              <w:t>@</w:t>
            </w:r>
            <w:proofErr w:type="spellStart"/>
            <w:r w:rsidRPr="004A6BD8">
              <w:rPr>
                <w:b/>
              </w:rPr>
              <w:t>rwe.cz</w:t>
            </w:r>
            <w:proofErr w:type="spellEnd"/>
          </w:p>
        </w:tc>
      </w:tr>
    </w:tbl>
    <w:p w:rsidR="005B1309" w:rsidRPr="000A0AFC" w:rsidRDefault="005B1309" w:rsidP="005B1309">
      <w:pPr>
        <w:spacing w:after="0" w:line="240" w:lineRule="auto"/>
      </w:pPr>
    </w:p>
    <w:p w:rsidR="00E02E9C" w:rsidRPr="000A0AFC" w:rsidRDefault="009317F3" w:rsidP="009317F3">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0A0AFC">
        <w:rPr>
          <w:b/>
        </w:rPr>
        <w:t>A.</w:t>
      </w:r>
      <w:r w:rsidRPr="000A0AFC">
        <w:rPr>
          <w:b/>
        </w:rPr>
        <w:tab/>
      </w:r>
      <w:r w:rsidR="004D5CCD" w:rsidRPr="000A0AFC">
        <w:rPr>
          <w:b/>
        </w:rPr>
        <w:t>SHRNUTÍ</w:t>
      </w:r>
      <w:r w:rsidR="009C28C1" w:rsidRPr="000A0AFC">
        <w:rPr>
          <w:b/>
        </w:rPr>
        <w:t xml:space="preserve"> HLAVNÍCH DOPADŮ PŘEDLOŽENÉHO MATERIÁLU</w:t>
      </w:r>
    </w:p>
    <w:p w:rsidR="00E02E9C" w:rsidRPr="000A0AFC" w:rsidRDefault="00E02E9C" w:rsidP="009317F3">
      <w:pPr>
        <w:spacing w:after="0"/>
        <w:jc w:val="both"/>
        <w:rPr>
          <w:rFonts w:cs="Arial"/>
        </w:rPr>
      </w:pPr>
    </w:p>
    <w:p w:rsidR="00200A26" w:rsidRPr="000A0AFC" w:rsidRDefault="009317F3" w:rsidP="009317F3">
      <w:pPr>
        <w:tabs>
          <w:tab w:val="left" w:pos="567"/>
        </w:tabs>
        <w:spacing w:after="0"/>
        <w:jc w:val="both"/>
        <w:rPr>
          <w:rFonts w:cs="Arial"/>
          <w:b/>
        </w:rPr>
      </w:pPr>
      <w:r w:rsidRPr="000A0AFC">
        <w:rPr>
          <w:rFonts w:cs="Arial"/>
          <w:b/>
        </w:rPr>
        <w:t>B.</w:t>
      </w:r>
      <w:r w:rsidRPr="000A0AFC">
        <w:rPr>
          <w:rFonts w:cs="Arial"/>
          <w:b/>
        </w:rPr>
        <w:tab/>
        <w:t xml:space="preserve">ZÁSADNÍ </w:t>
      </w:r>
      <w:r w:rsidR="004D5CCD" w:rsidRPr="000A0AFC">
        <w:rPr>
          <w:rFonts w:cs="Arial"/>
          <w:b/>
        </w:rPr>
        <w:t>OBECN</w:t>
      </w:r>
      <w:r w:rsidRPr="000A0AFC">
        <w:rPr>
          <w:rFonts w:cs="Arial"/>
          <w:b/>
        </w:rPr>
        <w:t>É</w:t>
      </w:r>
      <w:r w:rsidR="004D5CCD" w:rsidRPr="000A0AFC">
        <w:rPr>
          <w:rFonts w:cs="Arial"/>
          <w:b/>
        </w:rPr>
        <w:t xml:space="preserve"> PŘIPOMÍNK</w:t>
      </w:r>
      <w:r w:rsidRPr="000A0AFC">
        <w:rPr>
          <w:rFonts w:cs="Arial"/>
          <w:b/>
        </w:rPr>
        <w:t>Y</w:t>
      </w:r>
    </w:p>
    <w:p w:rsidR="005440AB" w:rsidRDefault="005440AB" w:rsidP="005440A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Nařízení vlády by mělo být vydáno na základě ustanovení § 37 odst. 7 písm. b) návrhu </w:t>
      </w:r>
      <w:proofErr w:type="spellStart"/>
      <w:r>
        <w:t>ZZVZ</w:t>
      </w:r>
      <w:proofErr w:type="spellEnd"/>
      <w:r>
        <w:t>, které stanoví, že „vláda může nařízením stanovit………“. Vzhledem k takovémuto zmocnění se přikláníme tomu, aby takovéto nařízení nebylo vůbec vydáváno. Zcela jistě bude platit, že požadavky zadavatele, ať již na obchodní podmínky nebo ve vztahu ke kvalifikaci, musí být přiměřené k zadávané zakázce. Ostatní řeší rozhodovací praxe s ohledem na specifika případu. Mezi jednotlivými zakázkami je velký rozdíl, a to v předmětu plnění, v jeho strategickém významu pro zadavatele nebo i konkrétně v okruhu možných dodavatelů. Z tohoto důvodu se nám jeví jako velmi problematické jakkoli paušalizovat a generalizovat maximální požadavky zadavatele v zadávacím řízení. Požadavky by měly být odůvodnitelné v konkrétním případě. Přijetí obecné právní úpravy představuje riziko, že zadavatel nebude moci reagovat na aktuální situaci na trhu a své odůvodněné potřeby. Bude se muset vtěsnat do předem daných vzorců, přičemž například institut smluvní pokuty u zahraničních dodavatelů nebude moci vůbec využít, protože ten tito dodavatelé odmítají téměř všichni. Ostatní instituty bude moci využít jen v předem omezené míře.</w:t>
      </w:r>
    </w:p>
    <w:p w:rsidR="005440AB" w:rsidRDefault="005440AB" w:rsidP="005440A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440AB" w:rsidRDefault="005440AB" w:rsidP="005440A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Pokud by bylo rozhodnuto, že je potřeba nařízení vlády v této věci přijmout, navrhujeme, aby bylo alespoň uvedeno, na které případy se nevztahuje. Mělo by se jednat o případy mimo běžné situace. Problém pak ale nastane v otázce, kdy se jedná o běžnou situaci a kdy nikoli, takže toto řešení nepřinese příliš právní jistoty. Předpokládáme, že důkazní břemeno ponese vždy zadavatel. Přesto je toto řešení o něco lepší, než stanovení limitů pro všechny zakázky bez ohledu na jejich specifika.</w:t>
      </w:r>
    </w:p>
    <w:p w:rsidR="005440AB" w:rsidRDefault="005440AB" w:rsidP="005440A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440AB" w:rsidRDefault="005440AB" w:rsidP="009317F3">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V každém případě se domníváme, že bude-li nařízení vlády přijato, je potřeba uvedené limity navýšit, neboť už nyní neodpovídají situaci na trhu. Viz zásadní konkrétní připomínky.</w:t>
      </w:r>
    </w:p>
    <w:p w:rsidR="005440AB" w:rsidRDefault="005440AB" w:rsidP="009317F3">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5440AB" w:rsidRDefault="005440AB" w:rsidP="009317F3">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V otázce srovnání </w:t>
      </w:r>
      <w:r w:rsidRPr="005440AB">
        <w:t>variant</w:t>
      </w:r>
      <w:r>
        <w:t>ních řešení se p</w:t>
      </w:r>
      <w:r w:rsidRPr="005440AB">
        <w:t>řikláníme k variantě 1, neboť obsahuje užší předmět regulace, a tedy méně omezení pro zadavatele. Ačkoli jsou kritéria v § 1 varianty 2 obecně celkem přiměřená, u konkrétní zadávané zakázky tomu tak být nemusí.</w:t>
      </w:r>
    </w:p>
    <w:p w:rsidR="00200A26" w:rsidRPr="000A0AFC" w:rsidRDefault="00200A26" w:rsidP="00200A26">
      <w:pPr>
        <w:spacing w:after="0"/>
        <w:jc w:val="both"/>
        <w:rPr>
          <w:rFonts w:cs="Arial"/>
        </w:rPr>
      </w:pPr>
    </w:p>
    <w:p w:rsidR="001C1A49" w:rsidRPr="000A0AFC" w:rsidRDefault="001C1A49" w:rsidP="00200A26">
      <w:pPr>
        <w:spacing w:after="0"/>
        <w:jc w:val="both"/>
        <w:rPr>
          <w:rFonts w:cs="Arial"/>
        </w:rPr>
      </w:pPr>
    </w:p>
    <w:p w:rsidR="004D5CCD" w:rsidRDefault="00200A26" w:rsidP="00200A26">
      <w:pPr>
        <w:spacing w:after="0"/>
        <w:jc w:val="both"/>
        <w:rPr>
          <w:b/>
        </w:rPr>
      </w:pPr>
      <w:r w:rsidRPr="000A0AFC">
        <w:rPr>
          <w:rFonts w:cs="Arial"/>
          <w:b/>
        </w:rPr>
        <w:t>C.</w:t>
      </w:r>
      <w:r w:rsidRPr="000A0AFC">
        <w:rPr>
          <w:b/>
        </w:rPr>
        <w:t xml:space="preserve"> </w:t>
      </w:r>
      <w:r w:rsidR="00DC3EB8" w:rsidRPr="000A0AFC">
        <w:rPr>
          <w:b/>
        </w:rPr>
        <w:t xml:space="preserve">ZÁSADNÍ </w:t>
      </w:r>
      <w:r w:rsidR="004D5CCD" w:rsidRPr="000A0AFC">
        <w:rPr>
          <w:b/>
        </w:rPr>
        <w:t>KONKRÉTNÍ PŘIPOMÍNK</w:t>
      </w:r>
      <w:r w:rsidR="0032279B" w:rsidRPr="000A0AFC">
        <w:rPr>
          <w:b/>
        </w:rPr>
        <w:t>Y</w:t>
      </w:r>
    </w:p>
    <w:p w:rsidR="002A6958" w:rsidRDefault="002A6958" w:rsidP="002A6958">
      <w:pPr>
        <w:spacing w:after="0"/>
        <w:jc w:val="both"/>
        <w:rPr>
          <w:b/>
        </w:rPr>
      </w:pPr>
    </w:p>
    <w:p w:rsidR="002A6958" w:rsidRDefault="002A6958" w:rsidP="002A6958">
      <w:pPr>
        <w:tabs>
          <w:tab w:val="left" w:pos="567"/>
        </w:tabs>
        <w:spacing w:after="0" w:line="240" w:lineRule="auto"/>
        <w:jc w:val="both"/>
        <w:rPr>
          <w:b/>
        </w:rPr>
      </w:pPr>
      <w:r>
        <w:rPr>
          <w:b/>
        </w:rPr>
        <w:t>VARIANTA I</w:t>
      </w:r>
    </w:p>
    <w:p w:rsidR="004307FA" w:rsidRPr="000A0AFC" w:rsidRDefault="004307FA" w:rsidP="004307FA">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A0AFC">
        <w:rPr>
          <w:b/>
        </w:rPr>
        <w:t>Připomínka k </w:t>
      </w:r>
      <w:r w:rsidR="005440AB" w:rsidRPr="005440AB">
        <w:rPr>
          <w:b/>
        </w:rPr>
        <w:tab/>
        <w:t>§ 1 odst. 1 písm. a)</w:t>
      </w:r>
      <w:r w:rsidR="002A6958">
        <w:rPr>
          <w:b/>
        </w:rPr>
        <w:t xml:space="preserve"> - </w:t>
      </w:r>
      <w:r w:rsidR="002A6958" w:rsidRPr="002A6958">
        <w:rPr>
          <w:b/>
        </w:rPr>
        <w:t>pojištění odpovědnosti za škodu</w:t>
      </w:r>
    </w:p>
    <w:p w:rsidR="002A6958" w:rsidRDefault="002A6958" w:rsidP="004307FA">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Navrhujeme § 1 odst. 1 písm. a) vypustit, popř. přepracovat.</w:t>
      </w:r>
    </w:p>
    <w:p w:rsidR="00D766DB" w:rsidRPr="000A0AFC" w:rsidRDefault="00D766DB" w:rsidP="004307FA">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4307FA" w:rsidRPr="000A0AFC" w:rsidRDefault="004307FA" w:rsidP="004307F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2A6958" w:rsidRDefault="002A6958" w:rsidP="004307FA">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L</w:t>
      </w:r>
      <w:r w:rsidRPr="005440AB">
        <w:t xml:space="preserve">imit pojištění pro </w:t>
      </w:r>
      <w:proofErr w:type="spellStart"/>
      <w:r w:rsidRPr="005440AB">
        <w:t>VZ</w:t>
      </w:r>
      <w:proofErr w:type="spellEnd"/>
      <w:r w:rsidRPr="005440AB">
        <w:t xml:space="preserve"> na dodávky nebo služby by měl být odvozován od škody, kterou může dodavatel způsobit. Ta nemusí a nebude zpravidla korespondovat s cenou poptávaného plnění. Také je potřeba zohlednit, že dodavatel bude plnit pro více objednatelů současně, tudíž by měl být pojištěn alespoň na dvojnásobek možné škody, kterou by mohl při plnění zakázky způsobit. Ideálně by pojistná smlouva zněla ve prospěch zadavatele a nikoliv všech odběratelů.</w:t>
      </w:r>
    </w:p>
    <w:p w:rsidR="00BF7057" w:rsidRDefault="00BF7057" w:rsidP="00BF7057">
      <w:pPr>
        <w:pStyle w:val="Odstavecseseznamem"/>
        <w:tabs>
          <w:tab w:val="left" w:pos="567"/>
        </w:tabs>
        <w:spacing w:after="0" w:line="240" w:lineRule="auto"/>
        <w:ind w:left="0"/>
        <w:contextualSpacing w:val="0"/>
        <w:jc w:val="both"/>
      </w:pPr>
    </w:p>
    <w:p w:rsidR="002A6958" w:rsidRPr="000A0AFC" w:rsidRDefault="002A6958" w:rsidP="002A695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A0AFC">
        <w:rPr>
          <w:b/>
        </w:rPr>
        <w:t>Připomínka k </w:t>
      </w:r>
      <w:r w:rsidRPr="005440AB">
        <w:rPr>
          <w:b/>
        </w:rPr>
        <w:tab/>
        <w:t xml:space="preserve">§ 1 odst. 1 písm. </w:t>
      </w:r>
      <w:r>
        <w:rPr>
          <w:b/>
        </w:rPr>
        <w:t>b</w:t>
      </w:r>
      <w:r w:rsidRPr="005440AB">
        <w:rPr>
          <w:b/>
        </w:rPr>
        <w:t>)</w:t>
      </w:r>
      <w:r>
        <w:rPr>
          <w:b/>
        </w:rPr>
        <w:t xml:space="preserve"> – bankovní záruky</w:t>
      </w:r>
    </w:p>
    <w:p w:rsidR="002A6958" w:rsidRDefault="002A6958" w:rsidP="002A6958">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Navrhujeme zvýšit limit </w:t>
      </w:r>
      <w:r w:rsidRPr="002A6958">
        <w:t>bankovní záruk</w:t>
      </w:r>
      <w:r>
        <w:t>y</w:t>
      </w:r>
      <w:r w:rsidRPr="002A6958">
        <w:t xml:space="preserve"> </w:t>
      </w:r>
      <w:r>
        <w:t>na maximálně 1</w:t>
      </w:r>
      <w:r w:rsidRPr="002A6958">
        <w:t>5 % z ceny veřejné zakázky</w:t>
      </w:r>
      <w:r>
        <w:t>.</w:t>
      </w:r>
    </w:p>
    <w:p w:rsidR="002A6958" w:rsidRPr="000A0AFC" w:rsidRDefault="002A6958" w:rsidP="002A6958">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2A6958" w:rsidRPr="000A0AFC" w:rsidRDefault="002A6958" w:rsidP="002A695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2A6958" w:rsidRDefault="00EA707E" w:rsidP="002A695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L</w:t>
      </w:r>
      <w:r w:rsidRPr="00EA707E">
        <w:t>imit pro bankovní záruku (dodávky nebo služby) za plnění ve výši 5</w:t>
      </w:r>
      <w:r>
        <w:t xml:space="preserve"> </w:t>
      </w:r>
      <w:r w:rsidRPr="00EA707E">
        <w:t>% ceny nemusí být vždy postačující</w:t>
      </w:r>
      <w:r>
        <w:t>.</w:t>
      </w:r>
    </w:p>
    <w:p w:rsidR="00EA707E" w:rsidRDefault="00EA707E" w:rsidP="00EA707E">
      <w:pPr>
        <w:pStyle w:val="Odstavecseseznamem"/>
        <w:tabs>
          <w:tab w:val="left" w:pos="567"/>
        </w:tabs>
        <w:spacing w:after="0" w:line="240" w:lineRule="auto"/>
        <w:ind w:left="0"/>
        <w:contextualSpacing w:val="0"/>
        <w:jc w:val="both"/>
      </w:pPr>
    </w:p>
    <w:p w:rsidR="00EA707E" w:rsidRPr="000A0AFC" w:rsidRDefault="00EA707E" w:rsidP="00EA707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A0AFC">
        <w:rPr>
          <w:b/>
        </w:rPr>
        <w:t>Připomínka k </w:t>
      </w:r>
      <w:r w:rsidRPr="005440AB">
        <w:rPr>
          <w:b/>
        </w:rPr>
        <w:tab/>
        <w:t xml:space="preserve">§ 1 odst. 1 písm. </w:t>
      </w:r>
      <w:r>
        <w:rPr>
          <w:b/>
        </w:rPr>
        <w:t>c</w:t>
      </w:r>
      <w:r w:rsidRPr="005440AB">
        <w:rPr>
          <w:b/>
        </w:rPr>
        <w:t>)</w:t>
      </w:r>
      <w:r>
        <w:rPr>
          <w:b/>
        </w:rPr>
        <w:t xml:space="preserve"> – záruční doba</w:t>
      </w:r>
    </w:p>
    <w:p w:rsidR="00EA707E" w:rsidRDefault="00EA707E" w:rsidP="00EA707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Navrhujeme § 1 odst. 1 písm. c) vypustit, popř. přepracovat.</w:t>
      </w:r>
    </w:p>
    <w:p w:rsidR="00EA707E" w:rsidRDefault="00EA707E" w:rsidP="00EA707E">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A707E" w:rsidRPr="000A0AFC" w:rsidRDefault="00EA707E" w:rsidP="00EA707E">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EA707E" w:rsidRDefault="00EA707E" w:rsidP="00EA707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Z</w:t>
      </w:r>
      <w:r w:rsidRPr="00EA707E">
        <w:t>áruční dob</w:t>
      </w:r>
      <w:r>
        <w:t>a</w:t>
      </w:r>
      <w:r w:rsidRPr="00EA707E">
        <w:t xml:space="preserve"> (dodávky nebo služby) závisí opět na charakteru poptávaného plnění</w:t>
      </w:r>
      <w:r>
        <w:t xml:space="preserve"> a </w:t>
      </w:r>
      <w:r w:rsidRPr="00EA707E">
        <w:t>v</w:t>
      </w:r>
      <w:r>
        <w:t> </w:t>
      </w:r>
      <w:r w:rsidRPr="00EA707E">
        <w:t xml:space="preserve">odůvodněných případech si lze představit i </w:t>
      </w:r>
      <w:r>
        <w:t xml:space="preserve">záruční dobu v délce </w:t>
      </w:r>
      <w:r w:rsidRPr="00EA707E">
        <w:t>36 nebo více</w:t>
      </w:r>
      <w:r>
        <w:t xml:space="preserve"> (v praxi je ve vybraných případech běžně používána záruční doba v délce až </w:t>
      </w:r>
      <w:r w:rsidRPr="00EA707E">
        <w:t>60 měsíců</w:t>
      </w:r>
      <w:r>
        <w:t>)</w:t>
      </w:r>
      <w:r w:rsidRPr="00EA707E">
        <w:t>.</w:t>
      </w:r>
    </w:p>
    <w:p w:rsidR="00EA707E" w:rsidRDefault="00EA707E" w:rsidP="00EA707E">
      <w:pPr>
        <w:pStyle w:val="Odstavecseseznamem"/>
        <w:tabs>
          <w:tab w:val="left" w:pos="567"/>
        </w:tabs>
        <w:spacing w:after="0" w:line="240" w:lineRule="auto"/>
        <w:ind w:left="0"/>
        <w:contextualSpacing w:val="0"/>
        <w:jc w:val="both"/>
      </w:pPr>
    </w:p>
    <w:p w:rsidR="00EA707E" w:rsidRPr="000A0AFC" w:rsidRDefault="00EA707E" w:rsidP="00EA707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A0AFC">
        <w:rPr>
          <w:b/>
        </w:rPr>
        <w:t>Připomínka k </w:t>
      </w:r>
      <w:r w:rsidRPr="005440AB">
        <w:rPr>
          <w:b/>
        </w:rPr>
        <w:tab/>
        <w:t xml:space="preserve">§ 1 odst. 1 písm. </w:t>
      </w:r>
      <w:r>
        <w:rPr>
          <w:b/>
        </w:rPr>
        <w:t>d</w:t>
      </w:r>
      <w:r w:rsidRPr="005440AB">
        <w:rPr>
          <w:b/>
        </w:rPr>
        <w:t>)</w:t>
      </w:r>
      <w:r>
        <w:rPr>
          <w:b/>
        </w:rPr>
        <w:t xml:space="preserve"> – smluvní pokuta</w:t>
      </w:r>
    </w:p>
    <w:p w:rsidR="00EA707E" w:rsidRDefault="00EA707E" w:rsidP="00EA707E">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EA707E">
        <w:t xml:space="preserve">Navrhujeme </w:t>
      </w:r>
      <w:r>
        <w:t xml:space="preserve">omezit tento parametr pouze na </w:t>
      </w:r>
      <w:r w:rsidRPr="00EA707E">
        <w:t>běžně dostupné zboží a služb</w:t>
      </w:r>
      <w:r>
        <w:t xml:space="preserve">y a to ve výši minimálně 1 % z ceny plnění </w:t>
      </w:r>
      <w:r w:rsidR="00F202A7">
        <w:t>denně (bez omezení horní hranice).</w:t>
      </w:r>
    </w:p>
    <w:p w:rsidR="00EA707E" w:rsidRDefault="00EA707E" w:rsidP="00EA707E">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EA707E" w:rsidRPr="000A0AFC" w:rsidRDefault="00EA707E" w:rsidP="00EA707E">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F202A7" w:rsidRDefault="00F202A7" w:rsidP="00EA707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S</w:t>
      </w:r>
      <w:r w:rsidR="00EA707E" w:rsidRPr="00EA707E">
        <w:t xml:space="preserve">mluvní pokuta za prodlení s poskytnutím dodávky nebo služby </w:t>
      </w:r>
      <w:r>
        <w:t xml:space="preserve">by se měla odvíjet od </w:t>
      </w:r>
      <w:r w:rsidR="00EA707E" w:rsidRPr="00EA707E">
        <w:t>druhu poptávaného plnění a aktuální situaci na trhu.</w:t>
      </w:r>
    </w:p>
    <w:p w:rsidR="00F202A7" w:rsidRDefault="00EA707E" w:rsidP="00EA707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A707E">
        <w:t xml:space="preserve">V běžných situacích </w:t>
      </w:r>
      <w:r w:rsidR="00F202A7">
        <w:t xml:space="preserve">(běžně dostupné zboží a služby) by </w:t>
      </w:r>
      <w:r w:rsidRPr="00EA707E">
        <w:t>měla navržená hodnota činit alespoň 1%</w:t>
      </w:r>
      <w:r w:rsidR="00F202A7">
        <w:t xml:space="preserve"> </w:t>
      </w:r>
      <w:r w:rsidRPr="00EA707E">
        <w:t>z</w:t>
      </w:r>
      <w:r w:rsidR="00F202A7">
        <w:t xml:space="preserve"> </w:t>
      </w:r>
      <w:r w:rsidRPr="00EA707E">
        <w:t>ceny plnění denně.</w:t>
      </w:r>
      <w:r w:rsidR="00F202A7">
        <w:t xml:space="preserve"> </w:t>
      </w:r>
      <w:r w:rsidR="00F202A7" w:rsidRPr="00EA707E">
        <w:t>Zadavateli mohou při realizaci zakázky vzniknout obrovské škody prodlením s</w:t>
      </w:r>
      <w:r w:rsidR="00F202A7">
        <w:t> </w:t>
      </w:r>
      <w:r w:rsidR="00F202A7" w:rsidRPr="00EA707E">
        <w:t xml:space="preserve">dodávkou komponent, které potřebuje pro realizaci jiné zakázky. Vyčíslení škod </w:t>
      </w:r>
      <w:r w:rsidR="00F202A7">
        <w:t xml:space="preserve">tak </w:t>
      </w:r>
      <w:r w:rsidR="00F202A7" w:rsidRPr="00EA707E">
        <w:t>může být problematické, stejně jako jejich vymáhání. Tuto situaci řeší smluvní pokuta.</w:t>
      </w:r>
      <w:r w:rsidR="00F202A7">
        <w:t xml:space="preserve"> Jeli však výše smluvní pokuty nízká, </w:t>
      </w:r>
      <w:r w:rsidR="004A090B">
        <w:t>postrádá tento nástroj význam.</w:t>
      </w:r>
    </w:p>
    <w:p w:rsidR="00F202A7" w:rsidRDefault="00EA707E" w:rsidP="00EA707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EA707E">
        <w:t>V</w:t>
      </w:r>
      <w:r w:rsidR="00F202A7">
        <w:t> </w:t>
      </w:r>
      <w:r w:rsidRPr="00EA707E">
        <w:t>případ</w:t>
      </w:r>
      <w:r w:rsidR="00F202A7">
        <w:t xml:space="preserve">ě specializované dodávky či služby však ztrácí tento nástroj </w:t>
      </w:r>
      <w:r w:rsidRPr="00EA707E">
        <w:t>efektiv</w:t>
      </w:r>
      <w:r w:rsidR="00F202A7">
        <w:t>itu</w:t>
      </w:r>
      <w:r w:rsidR="004A090B">
        <w:t xml:space="preserve"> obecně</w:t>
      </w:r>
      <w:r w:rsidR="00F202A7">
        <w:t>.</w:t>
      </w:r>
    </w:p>
    <w:p w:rsidR="004A090B" w:rsidRDefault="004A090B" w:rsidP="004A090B">
      <w:pPr>
        <w:pStyle w:val="Odstavecseseznamem"/>
        <w:tabs>
          <w:tab w:val="left" w:pos="567"/>
        </w:tabs>
        <w:spacing w:after="0" w:line="240" w:lineRule="auto"/>
        <w:ind w:left="0"/>
        <w:contextualSpacing w:val="0"/>
        <w:jc w:val="both"/>
      </w:pPr>
    </w:p>
    <w:p w:rsidR="004A090B" w:rsidRPr="000A0AFC"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A0AFC">
        <w:rPr>
          <w:b/>
        </w:rPr>
        <w:t>Připomínka k </w:t>
      </w:r>
      <w:r w:rsidRPr="005440AB">
        <w:rPr>
          <w:b/>
        </w:rPr>
        <w:tab/>
        <w:t xml:space="preserve">§ 1 odst. </w:t>
      </w:r>
      <w:r>
        <w:rPr>
          <w:b/>
        </w:rPr>
        <w:t>2</w:t>
      </w:r>
      <w:r w:rsidRPr="005440AB">
        <w:rPr>
          <w:b/>
        </w:rPr>
        <w:t xml:space="preserve"> písm. </w:t>
      </w:r>
      <w:r>
        <w:rPr>
          <w:b/>
        </w:rPr>
        <w:t>a</w:t>
      </w:r>
      <w:r w:rsidRPr="005440AB">
        <w:rPr>
          <w:b/>
        </w:rPr>
        <w:t>)</w:t>
      </w:r>
      <w:r>
        <w:rPr>
          <w:b/>
        </w:rPr>
        <w:t xml:space="preserve"> – </w:t>
      </w:r>
      <w:r w:rsidRPr="004A090B">
        <w:rPr>
          <w:b/>
        </w:rPr>
        <w:t>zajištění řádného plnění</w:t>
      </w:r>
    </w:p>
    <w:p w:rsidR="004A090B"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Požadujeme zpřesnit popis požadavku na „zajištění řádného plnění“.</w:t>
      </w:r>
    </w:p>
    <w:p w:rsidR="004A090B"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4A090B" w:rsidRPr="000A0AFC" w:rsidRDefault="004A090B" w:rsidP="004A090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4A090B" w:rsidRDefault="004A090B" w:rsidP="004A090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Z navržené textace není zřejmé, čeho se tento parametr týká.</w:t>
      </w:r>
    </w:p>
    <w:p w:rsidR="004A090B" w:rsidRDefault="004A090B" w:rsidP="004A090B">
      <w:pPr>
        <w:pStyle w:val="Odstavecseseznamem"/>
        <w:tabs>
          <w:tab w:val="left" w:pos="567"/>
        </w:tabs>
        <w:spacing w:after="0" w:line="240" w:lineRule="auto"/>
        <w:ind w:left="0"/>
        <w:contextualSpacing w:val="0"/>
        <w:jc w:val="both"/>
      </w:pPr>
    </w:p>
    <w:p w:rsidR="004A090B" w:rsidRPr="000A0AFC"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A0AFC">
        <w:rPr>
          <w:b/>
        </w:rPr>
        <w:t>Připomínka k </w:t>
      </w:r>
      <w:r w:rsidRPr="005440AB">
        <w:rPr>
          <w:b/>
        </w:rPr>
        <w:tab/>
        <w:t xml:space="preserve">§ 1 odst. </w:t>
      </w:r>
      <w:r>
        <w:rPr>
          <w:b/>
        </w:rPr>
        <w:t>2</w:t>
      </w:r>
      <w:r w:rsidRPr="005440AB">
        <w:rPr>
          <w:b/>
        </w:rPr>
        <w:t xml:space="preserve"> písm. </w:t>
      </w:r>
      <w:r>
        <w:rPr>
          <w:b/>
        </w:rPr>
        <w:t>b</w:t>
      </w:r>
      <w:r w:rsidRPr="005440AB">
        <w:rPr>
          <w:b/>
        </w:rPr>
        <w:t>)</w:t>
      </w:r>
      <w:r>
        <w:rPr>
          <w:b/>
        </w:rPr>
        <w:t xml:space="preserve"> – </w:t>
      </w:r>
      <w:r w:rsidRPr="004A090B">
        <w:rPr>
          <w:b/>
        </w:rPr>
        <w:t>z</w:t>
      </w:r>
      <w:r>
        <w:rPr>
          <w:b/>
        </w:rPr>
        <w:t>ádržné</w:t>
      </w:r>
    </w:p>
    <w:p w:rsidR="004A090B"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Navrhujeme zvýšit limit zádržného na maximálně 1</w:t>
      </w:r>
      <w:r w:rsidRPr="002A6958">
        <w:t>5 % z ceny veřejné zakázky</w:t>
      </w:r>
      <w:r>
        <w:t>.</w:t>
      </w:r>
    </w:p>
    <w:p w:rsidR="004A090B"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4A090B" w:rsidRPr="000A0AFC" w:rsidRDefault="004A090B" w:rsidP="004A090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4A090B" w:rsidRDefault="004A090B" w:rsidP="004A090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Navržený limit zádržného ve výši max. 10 % z ceny veřejné zakázky nemusí v případě </w:t>
      </w:r>
      <w:r w:rsidRPr="004A090B">
        <w:t xml:space="preserve">stavebních zakázek vždy </w:t>
      </w:r>
      <w:r>
        <w:t>plně d</w:t>
      </w:r>
      <w:r w:rsidRPr="004A090B">
        <w:t xml:space="preserve">ostačující pro </w:t>
      </w:r>
      <w:r>
        <w:t xml:space="preserve">ochranu </w:t>
      </w:r>
      <w:r w:rsidRPr="004A090B">
        <w:t>zadavatele před vznikem škody</w:t>
      </w:r>
      <w:r>
        <w:t xml:space="preserve"> (v praxi je běžně stanovena výše zádržného ve výši </w:t>
      </w:r>
      <w:r w:rsidRPr="004A090B">
        <w:t>10</w:t>
      </w:r>
      <w:r>
        <w:t xml:space="preserve"> </w:t>
      </w:r>
      <w:r w:rsidRPr="004A090B">
        <w:t>%, ale i 20</w:t>
      </w:r>
      <w:r>
        <w:t xml:space="preserve"> </w:t>
      </w:r>
      <w:r w:rsidRPr="004A090B">
        <w:t>%</w:t>
      </w:r>
      <w:r>
        <w:t>)</w:t>
      </w:r>
      <w:r w:rsidRPr="004A090B">
        <w:t>.</w:t>
      </w:r>
    </w:p>
    <w:p w:rsidR="004A090B" w:rsidRDefault="004A090B" w:rsidP="004A090B">
      <w:pPr>
        <w:pStyle w:val="Odstavecseseznamem"/>
        <w:tabs>
          <w:tab w:val="left" w:pos="567"/>
        </w:tabs>
        <w:spacing w:after="0" w:line="240" w:lineRule="auto"/>
        <w:ind w:left="0"/>
        <w:contextualSpacing w:val="0"/>
        <w:jc w:val="both"/>
      </w:pPr>
    </w:p>
    <w:p w:rsidR="004A090B" w:rsidRPr="002932B3"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932B3">
        <w:rPr>
          <w:b/>
        </w:rPr>
        <w:t>Připomínka k </w:t>
      </w:r>
      <w:r w:rsidRPr="002932B3">
        <w:rPr>
          <w:b/>
        </w:rPr>
        <w:tab/>
        <w:t xml:space="preserve">§ 1 odst. 2 písm. </w:t>
      </w:r>
      <w:r w:rsidR="000E07EA" w:rsidRPr="002932B3">
        <w:rPr>
          <w:b/>
        </w:rPr>
        <w:t>e</w:t>
      </w:r>
      <w:r w:rsidRPr="002932B3">
        <w:rPr>
          <w:b/>
        </w:rPr>
        <w:t xml:space="preserve">) – </w:t>
      </w:r>
      <w:r w:rsidR="003E19D9" w:rsidRPr="002932B3">
        <w:rPr>
          <w:b/>
        </w:rPr>
        <w:t>smluvní pokutu za prodlení se splněním termínu dokončení díla</w:t>
      </w:r>
    </w:p>
    <w:p w:rsidR="000E07EA" w:rsidRPr="002932B3" w:rsidRDefault="000E07EA" w:rsidP="000E07EA">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2932B3">
        <w:t xml:space="preserve">Navrhujeme zvýšit limit smluvní pokuty za </w:t>
      </w:r>
      <w:r w:rsidR="002932B3" w:rsidRPr="002932B3">
        <w:t xml:space="preserve">prodlení se splněním termínu </w:t>
      </w:r>
      <w:r w:rsidRPr="002932B3">
        <w:t xml:space="preserve">minimálně na 1 % z ceny </w:t>
      </w:r>
      <w:r w:rsidR="002932B3" w:rsidRPr="002932B3">
        <w:t xml:space="preserve">díla </w:t>
      </w:r>
      <w:r w:rsidRPr="002932B3">
        <w:t>denně.</w:t>
      </w:r>
    </w:p>
    <w:p w:rsidR="004A090B" w:rsidRPr="002932B3" w:rsidRDefault="004A090B" w:rsidP="004A090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4A090B" w:rsidRPr="002932B3" w:rsidRDefault="004A090B" w:rsidP="004A090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932B3">
        <w:rPr>
          <w:b/>
        </w:rPr>
        <w:t>Odůvodnění:</w:t>
      </w:r>
    </w:p>
    <w:p w:rsidR="000E07EA" w:rsidRPr="002932B3" w:rsidRDefault="002932B3" w:rsidP="004A090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932B3">
        <w:t xml:space="preserve">Navrženou maximální </w:t>
      </w:r>
      <w:r w:rsidR="000E07EA" w:rsidRPr="002932B3">
        <w:t>smluvní pokut</w:t>
      </w:r>
      <w:r w:rsidRPr="002932B3">
        <w:t>u</w:t>
      </w:r>
      <w:r w:rsidR="000E07EA" w:rsidRPr="002932B3">
        <w:t xml:space="preserve"> za prodlení s plněním stavební zakázky </w:t>
      </w:r>
      <w:r w:rsidRPr="002932B3">
        <w:t xml:space="preserve">ve </w:t>
      </w:r>
      <w:r w:rsidR="000E07EA" w:rsidRPr="002932B3">
        <w:t xml:space="preserve">výši </w:t>
      </w:r>
      <w:r w:rsidRPr="002932B3">
        <w:t xml:space="preserve">0,5 </w:t>
      </w:r>
      <w:r w:rsidR="000E07EA" w:rsidRPr="002932B3">
        <w:t>% z ceny zakázky</w:t>
      </w:r>
      <w:r w:rsidRPr="002932B3">
        <w:t xml:space="preserve"> považujeme za příliš nízkou vzhledem k možným mnohonásobně vyšším škodám pro zadavatele. Při navrženém limitu je m</w:t>
      </w:r>
      <w:r w:rsidR="000E07EA" w:rsidRPr="002932B3">
        <w:t>otivace dodavatele dokončit dílo včas malá.</w:t>
      </w:r>
    </w:p>
    <w:p w:rsidR="003E19D9" w:rsidRDefault="003E19D9" w:rsidP="003E19D9">
      <w:pPr>
        <w:pStyle w:val="Odstavecseseznamem"/>
        <w:tabs>
          <w:tab w:val="left" w:pos="567"/>
        </w:tabs>
        <w:spacing w:after="0" w:line="240" w:lineRule="auto"/>
        <w:ind w:left="0"/>
        <w:contextualSpacing w:val="0"/>
        <w:jc w:val="both"/>
      </w:pPr>
    </w:p>
    <w:p w:rsidR="003E19D9" w:rsidRPr="000A0AFC" w:rsidRDefault="003E19D9" w:rsidP="003E19D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A0AFC">
        <w:rPr>
          <w:b/>
        </w:rPr>
        <w:lastRenderedPageBreak/>
        <w:t>Připomínka k </w:t>
      </w:r>
      <w:r w:rsidRPr="005440AB">
        <w:rPr>
          <w:b/>
        </w:rPr>
        <w:tab/>
        <w:t xml:space="preserve">§ 1 odst. </w:t>
      </w:r>
      <w:r>
        <w:rPr>
          <w:b/>
        </w:rPr>
        <w:t>2</w:t>
      </w:r>
      <w:r w:rsidRPr="005440AB">
        <w:rPr>
          <w:b/>
        </w:rPr>
        <w:t xml:space="preserve"> písm. </w:t>
      </w:r>
      <w:r>
        <w:rPr>
          <w:b/>
        </w:rPr>
        <w:t>f</w:t>
      </w:r>
      <w:r w:rsidRPr="005440AB">
        <w:rPr>
          <w:b/>
        </w:rPr>
        <w:t>)</w:t>
      </w:r>
      <w:r>
        <w:rPr>
          <w:b/>
        </w:rPr>
        <w:t xml:space="preserve"> – </w:t>
      </w:r>
      <w:r w:rsidRPr="003E19D9">
        <w:rPr>
          <w:b/>
        </w:rPr>
        <w:t>smluvní pokutu za každou vadu</w:t>
      </w:r>
    </w:p>
    <w:p w:rsidR="003E19D9" w:rsidRDefault="003E19D9" w:rsidP="003E19D9">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Navrhujeme omezit tento parametr pouze na </w:t>
      </w:r>
      <w:r w:rsidRPr="00EA707E">
        <w:t xml:space="preserve">běžně </w:t>
      </w:r>
      <w:r>
        <w:t>stavební zakázky a zvýšit limit smluvní pokuty za každou vadu díla na maximálně 2 500,- Kč/den.</w:t>
      </w:r>
    </w:p>
    <w:p w:rsidR="003E19D9" w:rsidRDefault="003E19D9" w:rsidP="003E19D9">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3E19D9" w:rsidRPr="000A0AFC" w:rsidRDefault="003E19D9" w:rsidP="003E19D9">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3E19D9" w:rsidRDefault="003E19D9" w:rsidP="003E19D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Navržená s</w:t>
      </w:r>
      <w:r w:rsidRPr="003E19D9">
        <w:t xml:space="preserve">mluvní pokuta za prodlení s odstraněním vady na stavební zakázce </w:t>
      </w:r>
      <w:r>
        <w:t xml:space="preserve">ve výši </w:t>
      </w:r>
      <w:r w:rsidRPr="003E19D9">
        <w:t>1</w:t>
      </w:r>
      <w:r>
        <w:t> </w:t>
      </w:r>
      <w:r w:rsidRPr="003E19D9">
        <w:t>000,- Kč</w:t>
      </w:r>
      <w:r>
        <w:t>/den může být o</w:t>
      </w:r>
      <w:r w:rsidRPr="003E19D9">
        <w:t xml:space="preserve">becně </w:t>
      </w:r>
      <w:r>
        <w:t>d</w:t>
      </w:r>
      <w:r w:rsidRPr="003E19D9">
        <w:t xml:space="preserve">ostačující, ale u některých strategických zakázek, na nichž závisí provoz zadavatele, </w:t>
      </w:r>
      <w:r>
        <w:t>může jít o hodnotu extrémně nízkou</w:t>
      </w:r>
      <w:r w:rsidRPr="003E19D9">
        <w:t>.</w:t>
      </w:r>
    </w:p>
    <w:p w:rsidR="003E19D9" w:rsidRDefault="003E19D9" w:rsidP="003E19D9">
      <w:pPr>
        <w:pStyle w:val="Odstavecseseznamem"/>
        <w:tabs>
          <w:tab w:val="left" w:pos="567"/>
        </w:tabs>
        <w:spacing w:after="0" w:line="240" w:lineRule="auto"/>
        <w:ind w:left="0"/>
        <w:contextualSpacing w:val="0"/>
        <w:jc w:val="both"/>
      </w:pPr>
    </w:p>
    <w:p w:rsidR="004A090B" w:rsidRDefault="004A090B" w:rsidP="004A090B">
      <w:pPr>
        <w:pStyle w:val="Odstavecseseznamem"/>
        <w:tabs>
          <w:tab w:val="left" w:pos="567"/>
        </w:tabs>
        <w:spacing w:after="0" w:line="240" w:lineRule="auto"/>
        <w:ind w:left="0"/>
        <w:contextualSpacing w:val="0"/>
        <w:jc w:val="both"/>
      </w:pPr>
    </w:p>
    <w:p w:rsidR="0068239F" w:rsidRDefault="0068239F" w:rsidP="0068239F">
      <w:pPr>
        <w:tabs>
          <w:tab w:val="left" w:pos="567"/>
        </w:tabs>
        <w:spacing w:after="0" w:line="240" w:lineRule="auto"/>
        <w:jc w:val="both"/>
        <w:rPr>
          <w:b/>
        </w:rPr>
      </w:pPr>
      <w:r>
        <w:rPr>
          <w:b/>
        </w:rPr>
        <w:t>VARIANTA II</w:t>
      </w:r>
    </w:p>
    <w:p w:rsidR="001A6423" w:rsidRDefault="001A6423" w:rsidP="0068239F">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Pr>
          <w:b/>
        </w:rPr>
        <w:t>Připomínky k § 2</w:t>
      </w:r>
    </w:p>
    <w:p w:rsidR="0068239F" w:rsidRPr="001A6423" w:rsidRDefault="0068239F" w:rsidP="0068239F">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A6423">
        <w:t xml:space="preserve">Stejné připomínky jako </w:t>
      </w:r>
      <w:r w:rsidR="001A6423">
        <w:t xml:space="preserve">k § 1 </w:t>
      </w:r>
      <w:r w:rsidRPr="001A6423">
        <w:t>v případě VARIANTY I.</w:t>
      </w:r>
    </w:p>
    <w:p w:rsidR="0068239F" w:rsidRPr="000A0AFC" w:rsidRDefault="0068239F" w:rsidP="0068239F">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68239F" w:rsidRPr="000A0AFC" w:rsidRDefault="0068239F" w:rsidP="0068239F">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A0AFC">
        <w:rPr>
          <w:b/>
        </w:rPr>
        <w:t>Odůvodnění:</w:t>
      </w:r>
    </w:p>
    <w:p w:rsidR="0068239F" w:rsidRDefault="001A6423" w:rsidP="0068239F">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t xml:space="preserve">jedná se o stejná </w:t>
      </w:r>
      <w:r w:rsidR="0068239F" w:rsidRPr="0068239F">
        <w:t>ustanovení.</w:t>
      </w:r>
    </w:p>
    <w:p w:rsidR="0068239F" w:rsidRDefault="0068239F" w:rsidP="0068239F">
      <w:pPr>
        <w:pStyle w:val="Odstavecseseznamem"/>
        <w:tabs>
          <w:tab w:val="left" w:pos="567"/>
        </w:tabs>
        <w:spacing w:after="0" w:line="240" w:lineRule="auto"/>
        <w:ind w:left="0"/>
        <w:contextualSpacing w:val="0"/>
        <w:jc w:val="both"/>
      </w:pPr>
    </w:p>
    <w:p w:rsidR="002A6958" w:rsidRDefault="002A6958" w:rsidP="00BF7057">
      <w:pPr>
        <w:pStyle w:val="Odstavecseseznamem"/>
        <w:tabs>
          <w:tab w:val="left" w:pos="567"/>
        </w:tabs>
        <w:spacing w:after="0" w:line="240" w:lineRule="auto"/>
        <w:ind w:left="0"/>
        <w:contextualSpacing w:val="0"/>
        <w:jc w:val="both"/>
      </w:pPr>
    </w:p>
    <w:p w:rsidR="002A6958" w:rsidRDefault="002A6958"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1A6423" w:rsidRDefault="001A6423" w:rsidP="00BF7057">
      <w:pPr>
        <w:pStyle w:val="Odstavecseseznamem"/>
        <w:tabs>
          <w:tab w:val="left" w:pos="567"/>
        </w:tabs>
        <w:spacing w:after="0" w:line="240" w:lineRule="auto"/>
        <w:ind w:left="0"/>
        <w:contextualSpacing w:val="0"/>
        <w:jc w:val="both"/>
      </w:pPr>
    </w:p>
    <w:p w:rsidR="002A6958" w:rsidRDefault="002A6958" w:rsidP="00BF7057">
      <w:pPr>
        <w:pStyle w:val="Odstavecseseznamem"/>
        <w:tabs>
          <w:tab w:val="left" w:pos="567"/>
        </w:tabs>
        <w:spacing w:after="0" w:line="240" w:lineRule="auto"/>
        <w:ind w:left="0"/>
        <w:contextualSpacing w:val="0"/>
        <w:jc w:val="both"/>
      </w:pPr>
    </w:p>
    <w:p w:rsidR="0048475A" w:rsidRPr="000A0AFC" w:rsidRDefault="00A86B2C" w:rsidP="00FC6417">
      <w:pPr>
        <w:pStyle w:val="Odstavecseseznamem"/>
        <w:tabs>
          <w:tab w:val="left" w:pos="567"/>
        </w:tabs>
        <w:spacing w:after="0" w:line="240" w:lineRule="auto"/>
        <w:ind w:left="0"/>
        <w:contextualSpacing w:val="0"/>
        <w:jc w:val="both"/>
      </w:pPr>
      <w:r w:rsidRPr="000A0AFC">
        <w:t xml:space="preserve">Praha </w:t>
      </w:r>
      <w:r w:rsidR="000A0AFC">
        <w:t>1</w:t>
      </w:r>
      <w:r w:rsidR="001A6423">
        <w:t>1</w:t>
      </w:r>
      <w:r w:rsidRPr="000A0AFC">
        <w:t xml:space="preserve">. </w:t>
      </w:r>
      <w:r w:rsidR="000A0AFC">
        <w:t>února</w:t>
      </w:r>
      <w:r w:rsidRPr="000A0AFC">
        <w:t xml:space="preserve"> 201</w:t>
      </w:r>
      <w:r w:rsidR="000A0AFC">
        <w:t>6</w:t>
      </w:r>
    </w:p>
    <w:sectPr w:rsidR="0048475A" w:rsidRPr="000A0AFC" w:rsidSect="00E44785">
      <w:headerReference w:type="first" r:id="rId9"/>
      <w:pgSz w:w="11906" w:h="16838" w:code="9"/>
      <w:pgMar w:top="2127"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25F" w:rsidRDefault="00DC225F" w:rsidP="00A86B2C">
      <w:pPr>
        <w:spacing w:after="0" w:line="240" w:lineRule="auto"/>
      </w:pPr>
      <w:r>
        <w:separator/>
      </w:r>
    </w:p>
  </w:endnote>
  <w:endnote w:type="continuationSeparator" w:id="0">
    <w:p w:rsidR="00DC225F" w:rsidRDefault="00DC225F" w:rsidP="00A86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25F" w:rsidRDefault="00DC225F" w:rsidP="00A86B2C">
      <w:pPr>
        <w:spacing w:after="0" w:line="240" w:lineRule="auto"/>
      </w:pPr>
      <w:r>
        <w:separator/>
      </w:r>
    </w:p>
  </w:footnote>
  <w:footnote w:type="continuationSeparator" w:id="0">
    <w:p w:rsidR="00DC225F" w:rsidRDefault="00DC225F" w:rsidP="00A86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2C" w:rsidRDefault="00A86B2C" w:rsidP="00A86B2C">
    <w:pPr>
      <w:pStyle w:val="Zhlav"/>
      <w:jc w:val="center"/>
    </w:pPr>
    <w:r w:rsidRPr="00A86B2C">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
    <w15:presenceInfo w15:providerId="None" w15:userId="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0F5B"/>
    <w:rsid w:val="0000748C"/>
    <w:rsid w:val="00025760"/>
    <w:rsid w:val="00030F5B"/>
    <w:rsid w:val="000511ED"/>
    <w:rsid w:val="00055C36"/>
    <w:rsid w:val="00077B17"/>
    <w:rsid w:val="00085B92"/>
    <w:rsid w:val="000A0AFC"/>
    <w:rsid w:val="000B5F11"/>
    <w:rsid w:val="000C466E"/>
    <w:rsid w:val="000D0F58"/>
    <w:rsid w:val="000D25F2"/>
    <w:rsid w:val="000E07EA"/>
    <w:rsid w:val="000E092B"/>
    <w:rsid w:val="00102933"/>
    <w:rsid w:val="00107BF2"/>
    <w:rsid w:val="0011347F"/>
    <w:rsid w:val="00137778"/>
    <w:rsid w:val="00141AAA"/>
    <w:rsid w:val="00170158"/>
    <w:rsid w:val="001776C1"/>
    <w:rsid w:val="00193D68"/>
    <w:rsid w:val="001A6423"/>
    <w:rsid w:val="001B5C83"/>
    <w:rsid w:val="001C1A49"/>
    <w:rsid w:val="001D64A0"/>
    <w:rsid w:val="001E276E"/>
    <w:rsid w:val="001F4636"/>
    <w:rsid w:val="00200A26"/>
    <w:rsid w:val="00203C55"/>
    <w:rsid w:val="00241F59"/>
    <w:rsid w:val="002515A5"/>
    <w:rsid w:val="00263AFD"/>
    <w:rsid w:val="00266FC1"/>
    <w:rsid w:val="00276473"/>
    <w:rsid w:val="002932B3"/>
    <w:rsid w:val="002A6958"/>
    <w:rsid w:val="002B3746"/>
    <w:rsid w:val="002C47A4"/>
    <w:rsid w:val="002F2828"/>
    <w:rsid w:val="002F3B86"/>
    <w:rsid w:val="002F45D7"/>
    <w:rsid w:val="002F792F"/>
    <w:rsid w:val="00302F26"/>
    <w:rsid w:val="0030729E"/>
    <w:rsid w:val="0032279B"/>
    <w:rsid w:val="00324F39"/>
    <w:rsid w:val="00346EAD"/>
    <w:rsid w:val="00356B06"/>
    <w:rsid w:val="00376877"/>
    <w:rsid w:val="00381EA0"/>
    <w:rsid w:val="00383044"/>
    <w:rsid w:val="00385822"/>
    <w:rsid w:val="003A2D75"/>
    <w:rsid w:val="003C2C0C"/>
    <w:rsid w:val="003C5F79"/>
    <w:rsid w:val="003D2DAA"/>
    <w:rsid w:val="003E19D9"/>
    <w:rsid w:val="003E26AC"/>
    <w:rsid w:val="00402E21"/>
    <w:rsid w:val="004150E1"/>
    <w:rsid w:val="004238B4"/>
    <w:rsid w:val="004307FA"/>
    <w:rsid w:val="004325EC"/>
    <w:rsid w:val="0044566C"/>
    <w:rsid w:val="00452065"/>
    <w:rsid w:val="004660D4"/>
    <w:rsid w:val="0048475A"/>
    <w:rsid w:val="00493533"/>
    <w:rsid w:val="004A090B"/>
    <w:rsid w:val="004A15F9"/>
    <w:rsid w:val="004A6BD8"/>
    <w:rsid w:val="004B0847"/>
    <w:rsid w:val="004C5DBF"/>
    <w:rsid w:val="004D5CCD"/>
    <w:rsid w:val="004E5EC2"/>
    <w:rsid w:val="004F6633"/>
    <w:rsid w:val="00503560"/>
    <w:rsid w:val="0051212C"/>
    <w:rsid w:val="00524378"/>
    <w:rsid w:val="00535CAD"/>
    <w:rsid w:val="005440AB"/>
    <w:rsid w:val="00552556"/>
    <w:rsid w:val="005664DD"/>
    <w:rsid w:val="005711ED"/>
    <w:rsid w:val="00580EB6"/>
    <w:rsid w:val="00595359"/>
    <w:rsid w:val="005B1309"/>
    <w:rsid w:val="005B6F9C"/>
    <w:rsid w:val="005C70D0"/>
    <w:rsid w:val="005D2DB2"/>
    <w:rsid w:val="005F5969"/>
    <w:rsid w:val="0060292B"/>
    <w:rsid w:val="00625139"/>
    <w:rsid w:val="006308EB"/>
    <w:rsid w:val="00637D0D"/>
    <w:rsid w:val="006552C7"/>
    <w:rsid w:val="006553C6"/>
    <w:rsid w:val="00663593"/>
    <w:rsid w:val="00674FEE"/>
    <w:rsid w:val="0068239F"/>
    <w:rsid w:val="00691289"/>
    <w:rsid w:val="006918A3"/>
    <w:rsid w:val="006A4E50"/>
    <w:rsid w:val="006B5F1A"/>
    <w:rsid w:val="006B71E4"/>
    <w:rsid w:val="006C7CE9"/>
    <w:rsid w:val="006E3A8F"/>
    <w:rsid w:val="007051AD"/>
    <w:rsid w:val="007069C5"/>
    <w:rsid w:val="00717F38"/>
    <w:rsid w:val="007335B6"/>
    <w:rsid w:val="00737CDD"/>
    <w:rsid w:val="00742BC3"/>
    <w:rsid w:val="0074427A"/>
    <w:rsid w:val="00752052"/>
    <w:rsid w:val="00765878"/>
    <w:rsid w:val="0077211F"/>
    <w:rsid w:val="00783614"/>
    <w:rsid w:val="0078571A"/>
    <w:rsid w:val="007E58AF"/>
    <w:rsid w:val="007E6A5E"/>
    <w:rsid w:val="007F2972"/>
    <w:rsid w:val="00801F4D"/>
    <w:rsid w:val="0081146F"/>
    <w:rsid w:val="0081645A"/>
    <w:rsid w:val="00834616"/>
    <w:rsid w:val="00837558"/>
    <w:rsid w:val="00843062"/>
    <w:rsid w:val="00844545"/>
    <w:rsid w:val="0085074D"/>
    <w:rsid w:val="00867D97"/>
    <w:rsid w:val="00873A04"/>
    <w:rsid w:val="008850DC"/>
    <w:rsid w:val="00887BEF"/>
    <w:rsid w:val="00892879"/>
    <w:rsid w:val="008A52AE"/>
    <w:rsid w:val="008A7698"/>
    <w:rsid w:val="008B541F"/>
    <w:rsid w:val="008B7066"/>
    <w:rsid w:val="008C6506"/>
    <w:rsid w:val="008D27E7"/>
    <w:rsid w:val="008E140E"/>
    <w:rsid w:val="008F1D8D"/>
    <w:rsid w:val="0091259A"/>
    <w:rsid w:val="00930717"/>
    <w:rsid w:val="009317F3"/>
    <w:rsid w:val="00934F0B"/>
    <w:rsid w:val="009413A5"/>
    <w:rsid w:val="00950081"/>
    <w:rsid w:val="009A08CE"/>
    <w:rsid w:val="009A5261"/>
    <w:rsid w:val="009B3460"/>
    <w:rsid w:val="009C26A1"/>
    <w:rsid w:val="009C28C1"/>
    <w:rsid w:val="00A0284F"/>
    <w:rsid w:val="00A4194F"/>
    <w:rsid w:val="00A45A4F"/>
    <w:rsid w:val="00A52186"/>
    <w:rsid w:val="00A57749"/>
    <w:rsid w:val="00A86B2C"/>
    <w:rsid w:val="00A959D6"/>
    <w:rsid w:val="00A95D1D"/>
    <w:rsid w:val="00AA2DB3"/>
    <w:rsid w:val="00AC23C2"/>
    <w:rsid w:val="00AC3D97"/>
    <w:rsid w:val="00AC6BB7"/>
    <w:rsid w:val="00AD4F46"/>
    <w:rsid w:val="00AE10B4"/>
    <w:rsid w:val="00AF79DF"/>
    <w:rsid w:val="00B01203"/>
    <w:rsid w:val="00B117A3"/>
    <w:rsid w:val="00B40EC9"/>
    <w:rsid w:val="00B74108"/>
    <w:rsid w:val="00B76AE6"/>
    <w:rsid w:val="00B93425"/>
    <w:rsid w:val="00BA05C8"/>
    <w:rsid w:val="00BA0E8A"/>
    <w:rsid w:val="00BC4F10"/>
    <w:rsid w:val="00BC60AE"/>
    <w:rsid w:val="00BF39D5"/>
    <w:rsid w:val="00BF7057"/>
    <w:rsid w:val="00BF710E"/>
    <w:rsid w:val="00C002C0"/>
    <w:rsid w:val="00C16795"/>
    <w:rsid w:val="00C23AC1"/>
    <w:rsid w:val="00C3752E"/>
    <w:rsid w:val="00C82487"/>
    <w:rsid w:val="00C83C6D"/>
    <w:rsid w:val="00CD73C6"/>
    <w:rsid w:val="00CE2836"/>
    <w:rsid w:val="00CE32C4"/>
    <w:rsid w:val="00CE3C39"/>
    <w:rsid w:val="00D0121E"/>
    <w:rsid w:val="00D01CB3"/>
    <w:rsid w:val="00D07876"/>
    <w:rsid w:val="00D23F90"/>
    <w:rsid w:val="00D319EE"/>
    <w:rsid w:val="00D35F2A"/>
    <w:rsid w:val="00D766DB"/>
    <w:rsid w:val="00D9473B"/>
    <w:rsid w:val="00D95020"/>
    <w:rsid w:val="00DA1C38"/>
    <w:rsid w:val="00DA34A5"/>
    <w:rsid w:val="00DB7F2A"/>
    <w:rsid w:val="00DC225F"/>
    <w:rsid w:val="00DC3EB8"/>
    <w:rsid w:val="00DD13AB"/>
    <w:rsid w:val="00DD3281"/>
    <w:rsid w:val="00DD7629"/>
    <w:rsid w:val="00DE3A9D"/>
    <w:rsid w:val="00DE762E"/>
    <w:rsid w:val="00DF26BF"/>
    <w:rsid w:val="00E01DF3"/>
    <w:rsid w:val="00E02E9C"/>
    <w:rsid w:val="00E15B76"/>
    <w:rsid w:val="00E26016"/>
    <w:rsid w:val="00E26E8C"/>
    <w:rsid w:val="00E369ED"/>
    <w:rsid w:val="00E37BEA"/>
    <w:rsid w:val="00E44785"/>
    <w:rsid w:val="00E710D4"/>
    <w:rsid w:val="00E73446"/>
    <w:rsid w:val="00E76256"/>
    <w:rsid w:val="00E9327C"/>
    <w:rsid w:val="00EA4575"/>
    <w:rsid w:val="00EA46ED"/>
    <w:rsid w:val="00EA707E"/>
    <w:rsid w:val="00EB0B12"/>
    <w:rsid w:val="00EB5907"/>
    <w:rsid w:val="00EC4FD0"/>
    <w:rsid w:val="00EE4F03"/>
    <w:rsid w:val="00F0032A"/>
    <w:rsid w:val="00F1590F"/>
    <w:rsid w:val="00F202A7"/>
    <w:rsid w:val="00F20F30"/>
    <w:rsid w:val="00F43F0B"/>
    <w:rsid w:val="00F5459D"/>
    <w:rsid w:val="00F5472F"/>
    <w:rsid w:val="00F74113"/>
    <w:rsid w:val="00F75A3B"/>
    <w:rsid w:val="00F777FD"/>
    <w:rsid w:val="00F85720"/>
    <w:rsid w:val="00FC5C2D"/>
    <w:rsid w:val="00FC6417"/>
    <w:rsid w:val="00FD0B1A"/>
    <w:rsid w:val="00FD12D2"/>
    <w:rsid w:val="00FD5D38"/>
    <w:rsid w:val="00FD7B72"/>
    <w:rsid w:val="00FE52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character" w:styleId="Hypertextovodkaz">
    <w:name w:val="Hyperlink"/>
    <w:basedOn w:val="Standardnpsmoodstavce"/>
    <w:uiPriority w:val="99"/>
    <w:unhideWhenUsed/>
    <w:rsid w:val="00A86B2C"/>
    <w:rPr>
      <w:color w:val="0000FF" w:themeColor="hyperlink"/>
      <w:u w:val="single"/>
    </w:rPr>
  </w:style>
  <w:style w:type="paragraph" w:styleId="Zhlav">
    <w:name w:val="header"/>
    <w:basedOn w:val="Normln"/>
    <w:link w:val="ZhlavChar"/>
    <w:uiPriority w:val="99"/>
    <w:semiHidden/>
    <w:unhideWhenUsed/>
    <w:rsid w:val="00A86B2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86B2C"/>
  </w:style>
  <w:style w:type="paragraph" w:styleId="Zpat">
    <w:name w:val="footer"/>
    <w:basedOn w:val="Normln"/>
    <w:link w:val="ZpatChar"/>
    <w:uiPriority w:val="99"/>
    <w:semiHidden/>
    <w:unhideWhenUsed/>
    <w:rsid w:val="00A86B2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86B2C"/>
  </w:style>
  <w:style w:type="paragraph" w:styleId="Textbubliny">
    <w:name w:val="Balloon Text"/>
    <w:basedOn w:val="Normln"/>
    <w:link w:val="TextbublinyChar"/>
    <w:uiPriority w:val="99"/>
    <w:semiHidden/>
    <w:unhideWhenUsed/>
    <w:rsid w:val="00A86B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6B2C"/>
    <w:rPr>
      <w:rFonts w:ascii="Tahoma" w:hAnsi="Tahoma" w:cs="Tahoma"/>
      <w:sz w:val="16"/>
      <w:szCs w:val="16"/>
    </w:rPr>
  </w:style>
  <w:style w:type="paragraph" w:styleId="Textpoznpodarou">
    <w:name w:val="footnote text"/>
    <w:basedOn w:val="Normln"/>
    <w:link w:val="TextpoznpodarouChar"/>
    <w:uiPriority w:val="99"/>
    <w:semiHidden/>
    <w:unhideWhenUsed/>
    <w:rsid w:val="007658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5878"/>
    <w:rPr>
      <w:sz w:val="20"/>
      <w:szCs w:val="20"/>
    </w:rPr>
  </w:style>
  <w:style w:type="character" w:styleId="Znakapoznpodarou">
    <w:name w:val="footnote reference"/>
    <w:basedOn w:val="Standardnpsmoodstavce"/>
    <w:uiPriority w:val="99"/>
    <w:semiHidden/>
    <w:unhideWhenUsed/>
    <w:rsid w:val="00765878"/>
    <w:rPr>
      <w:vertAlign w:val="superscript"/>
    </w:rPr>
  </w:style>
</w:styles>
</file>

<file path=word/webSettings.xml><?xml version="1.0" encoding="utf-8"?>
<w:webSettings xmlns:r="http://schemas.openxmlformats.org/officeDocument/2006/relationships" xmlns:w="http://schemas.openxmlformats.org/wordprocessingml/2006/main">
  <w:divs>
    <w:div w:id="1751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ecanek@cgoa.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34C3-B019-4077-90D9-E9F87A99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922</Words>
  <Characters>5440</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HKCR</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8</cp:revision>
  <dcterms:created xsi:type="dcterms:W3CDTF">2016-02-10T15:28:00Z</dcterms:created>
  <dcterms:modified xsi:type="dcterms:W3CDTF">2016-02-11T13:50:00Z</dcterms:modified>
</cp:coreProperties>
</file>