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Pr="007E6A5E" w:rsidRDefault="001C1A49" w:rsidP="001C1A49">
            <w:r w:rsidRPr="001C1A49">
              <w:rPr>
                <w:b/>
              </w:rPr>
              <w:t>Návrh vyhlášky o čištění, kontrole a revizi spalinové cesty</w:t>
            </w:r>
            <w:r w:rsidR="0011347F">
              <w:t xml:space="preserve"> (</w:t>
            </w:r>
            <w:r>
              <w:t xml:space="preserve">zveřejněno na </w:t>
            </w:r>
            <w:proofErr w:type="spellStart"/>
            <w:r>
              <w:t>HK</w:t>
            </w:r>
            <w:proofErr w:type="spellEnd"/>
            <w:r>
              <w:t xml:space="preserve"> ČR dne 1</w:t>
            </w:r>
            <w:r w:rsidR="007E6A5E" w:rsidRPr="007E6A5E">
              <w:t xml:space="preserve">5. </w:t>
            </w:r>
            <w:r>
              <w:t>12</w:t>
            </w:r>
            <w:r w:rsidR="007E6A5E" w:rsidRPr="007E6A5E">
              <w:t>. 2015)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A86B2C" w:rsidP="00A86B2C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  <w:p w:rsidR="004A15F9" w:rsidRDefault="004A15F9" w:rsidP="00A86B2C">
            <w:pPr>
              <w:rPr>
                <w:b/>
              </w:rPr>
            </w:pPr>
            <w:r>
              <w:rPr>
                <w:b/>
              </w:rPr>
              <w:t>František Fejgl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A86B2C" w:rsidP="00857009">
            <w:pPr>
              <w:rPr>
                <w:b/>
              </w:rPr>
            </w:pPr>
            <w:r>
              <w:rPr>
                <w:b/>
              </w:rPr>
              <w:t>+420 602 560</w:t>
            </w:r>
            <w:r w:rsidR="004A15F9">
              <w:rPr>
                <w:b/>
              </w:rPr>
              <w:t> </w:t>
            </w:r>
            <w:r>
              <w:rPr>
                <w:b/>
              </w:rPr>
              <w:t>771</w:t>
            </w:r>
          </w:p>
          <w:p w:rsidR="004A15F9" w:rsidRDefault="004A15F9" w:rsidP="00857009">
            <w:pPr>
              <w:rPr>
                <w:b/>
              </w:rPr>
            </w:pPr>
            <w:r>
              <w:rPr>
                <w:b/>
              </w:rPr>
              <w:t>+420  602 108 487</w:t>
            </w: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A86B2C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</w:tcPr>
          <w:p w:rsidR="005B1309" w:rsidRDefault="007051AD" w:rsidP="00857009">
            <w:pPr>
              <w:rPr>
                <w:b/>
              </w:rPr>
            </w:pPr>
            <w:hyperlink r:id="rId8" w:history="1">
              <w:proofErr w:type="spellStart"/>
              <w:r w:rsidR="00A86B2C" w:rsidRPr="00083B32">
                <w:rPr>
                  <w:rStyle w:val="Hypertextovodkaz"/>
                  <w:b/>
                </w:rPr>
                <w:t>tomas.pecanek</w:t>
              </w:r>
              <w:proofErr w:type="spellEnd"/>
              <w:r w:rsidR="00A86B2C" w:rsidRPr="00083B32">
                <w:rPr>
                  <w:rStyle w:val="Hypertextovodkaz"/>
                  <w:b/>
                </w:rPr>
                <w:t>@</w:t>
              </w:r>
              <w:proofErr w:type="spellStart"/>
              <w:r w:rsidR="00A86B2C" w:rsidRPr="00083B32">
                <w:rPr>
                  <w:rStyle w:val="Hypertextovodkaz"/>
                  <w:b/>
                </w:rPr>
                <w:t>cgoa.cz</w:t>
              </w:r>
              <w:proofErr w:type="spellEnd"/>
            </w:hyperlink>
          </w:p>
        </w:tc>
      </w:tr>
    </w:tbl>
    <w:p w:rsidR="005B1309" w:rsidRPr="00E369ED" w:rsidRDefault="005B1309" w:rsidP="005B1309">
      <w:pPr>
        <w:spacing w:after="0" w:line="240" w:lineRule="auto"/>
      </w:pPr>
    </w:p>
    <w:p w:rsidR="00E02E9C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</w:pPr>
      <w:r w:rsidRPr="00A86B2C">
        <w:rPr>
          <w:b/>
        </w:rPr>
        <w:t>SHRNUTÍ</w:t>
      </w:r>
      <w:r w:rsidR="009C28C1" w:rsidRPr="00A86B2C">
        <w:rPr>
          <w:b/>
        </w:rPr>
        <w:t xml:space="preserve"> HLAVNÍCH DOPADŮ PŘEDLOŽENÉHO MATERIÁLU</w:t>
      </w:r>
    </w:p>
    <w:p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200A26" w:rsidRPr="00A95D1D" w:rsidRDefault="004D5CCD" w:rsidP="00637D0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</w:pPr>
      <w:r w:rsidRPr="00637D0D">
        <w:rPr>
          <w:b/>
        </w:rPr>
        <w:t>OBECNÁ PŘIPOMÍNKA</w:t>
      </w:r>
    </w:p>
    <w:p w:rsidR="00200A26" w:rsidRDefault="00200A26" w:rsidP="00200A26">
      <w:pPr>
        <w:spacing w:after="0"/>
        <w:jc w:val="both"/>
        <w:rPr>
          <w:rFonts w:cs="Arial"/>
        </w:rPr>
      </w:pPr>
    </w:p>
    <w:p w:rsidR="001C1A49" w:rsidRDefault="001C1A49" w:rsidP="00200A26">
      <w:pPr>
        <w:spacing w:after="0"/>
        <w:jc w:val="both"/>
        <w:rPr>
          <w:rFonts w:cs="Arial"/>
        </w:rPr>
      </w:pPr>
    </w:p>
    <w:p w:rsidR="004D5CCD" w:rsidRPr="00950081" w:rsidRDefault="00200A26" w:rsidP="00200A26">
      <w:pPr>
        <w:spacing w:after="0"/>
        <w:jc w:val="both"/>
        <w:rPr>
          <w:b/>
        </w:rPr>
      </w:pPr>
      <w:r w:rsidRPr="00200A26">
        <w:rPr>
          <w:rFonts w:cs="Arial"/>
          <w:b/>
        </w:rPr>
        <w:t>C</w:t>
      </w:r>
      <w:r>
        <w:rPr>
          <w:rFonts w:cs="Arial"/>
          <w:b/>
        </w:rPr>
        <w:t>.</w:t>
      </w:r>
      <w:r w:rsidRPr="0077211F">
        <w:rPr>
          <w:b/>
        </w:rPr>
        <w:t xml:space="preserve"> </w:t>
      </w:r>
      <w:r w:rsidR="00DC3EB8"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</w:p>
    <w:p w:rsidR="00950081" w:rsidRPr="00E369ED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11ED" w:rsidRPr="001C1A49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C1A49">
        <w:rPr>
          <w:b/>
        </w:rPr>
        <w:t>Připomínka k</w:t>
      </w:r>
      <w:r w:rsidR="000511ED" w:rsidRPr="001C1A49">
        <w:rPr>
          <w:b/>
        </w:rPr>
        <w:t> </w:t>
      </w:r>
      <w:r w:rsidR="001C1A49">
        <w:rPr>
          <w:b/>
        </w:rPr>
        <w:t>§ 2</w:t>
      </w:r>
    </w:p>
    <w:p w:rsidR="001C1A49" w:rsidRDefault="001C1A49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 § 2 navrhujeme </w:t>
      </w:r>
      <w:r w:rsidR="00AC23C2">
        <w:t>doplnit za stávající text nový odstavec</w:t>
      </w:r>
      <w:r>
        <w:t>, který zní:</w:t>
      </w:r>
    </w:p>
    <w:p w:rsidR="001C1A49" w:rsidRPr="004F6633" w:rsidRDefault="001C1A49" w:rsidP="001C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4F6633">
        <w:rPr>
          <w:b/>
        </w:rPr>
        <w:t>(2) Kontrola spalinové cesty se neprovádí:</w:t>
      </w:r>
    </w:p>
    <w:p w:rsidR="001C1A49" w:rsidRPr="004F6633" w:rsidRDefault="001C1A49" w:rsidP="001C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4F6633">
        <w:rPr>
          <w:b/>
        </w:rPr>
        <w:t xml:space="preserve">a) u spalinových cest od plynových spotřebičů, u nichž není </w:t>
      </w:r>
      <w:r w:rsidR="00625139">
        <w:rPr>
          <w:b/>
        </w:rPr>
        <w:t xml:space="preserve">výrobcem </w:t>
      </w:r>
      <w:r w:rsidRPr="004F6633">
        <w:rPr>
          <w:b/>
        </w:rPr>
        <w:t xml:space="preserve">požadována odolnost </w:t>
      </w:r>
      <w:r w:rsidR="00625139">
        <w:rPr>
          <w:b/>
        </w:rPr>
        <w:t>při</w:t>
      </w:r>
      <w:r w:rsidR="00625139" w:rsidRPr="004F6633">
        <w:rPr>
          <w:b/>
        </w:rPr>
        <w:t xml:space="preserve"> </w:t>
      </w:r>
      <w:r w:rsidRPr="004F6633">
        <w:rPr>
          <w:b/>
        </w:rPr>
        <w:t xml:space="preserve">vyhoření </w:t>
      </w:r>
      <w:proofErr w:type="spellStart"/>
      <w:r w:rsidRPr="004F6633">
        <w:rPr>
          <w:b/>
        </w:rPr>
        <w:t>sazí</w:t>
      </w:r>
      <w:r w:rsidR="00765878">
        <w:rPr>
          <w:b/>
          <w:vertAlign w:val="superscript"/>
        </w:rPr>
        <w:t>1</w:t>
      </w:r>
      <w:proofErr w:type="spellEnd"/>
      <w:r w:rsidR="00765878">
        <w:rPr>
          <w:b/>
          <w:vertAlign w:val="superscript"/>
        </w:rPr>
        <w:t>)</w:t>
      </w:r>
      <w:r w:rsidRPr="004F6633">
        <w:rPr>
          <w:b/>
        </w:rPr>
        <w:t>,</w:t>
      </w:r>
    </w:p>
    <w:p w:rsidR="001C1A49" w:rsidRDefault="001C1A49" w:rsidP="001C1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4F6633">
        <w:rPr>
          <w:b/>
        </w:rPr>
        <w:t>b) u spalinových cest sloužících jako digestoře nad tepelnými spotřebiči.</w:t>
      </w:r>
    </w:p>
    <w:p w:rsidR="001C1A49" w:rsidRDefault="004F663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S</w:t>
      </w:r>
      <w:r w:rsidR="00AC23C2">
        <w:t>távající text bude označen jako odstavec 1.</w:t>
      </w:r>
    </w:p>
    <w:p w:rsidR="00765878" w:rsidRDefault="00765878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Pod text doplnit nový odkaz s následujícím zněním:</w:t>
      </w:r>
    </w:p>
    <w:p w:rsidR="001C1A49" w:rsidRDefault="007051A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proofErr w:type="gramStart"/>
      <w:r w:rsidRPr="007051AD">
        <w:rPr>
          <w:b/>
          <w:vertAlign w:val="superscript"/>
        </w:rPr>
        <w:t>1)</w:t>
      </w:r>
      <w:r w:rsidR="00765878">
        <w:rPr>
          <w:b/>
          <w:vertAlign w:val="superscript"/>
        </w:rPr>
        <w:t xml:space="preserve"> </w:t>
      </w:r>
      <w:r w:rsidR="00765878">
        <w:rPr>
          <w:b/>
        </w:rPr>
        <w:t xml:space="preserve"> </w:t>
      </w:r>
      <w:r w:rsidRPr="007051AD">
        <w:rPr>
          <w:b/>
        </w:rPr>
        <w:t>ČSN</w:t>
      </w:r>
      <w:proofErr w:type="gramEnd"/>
      <w:r w:rsidRPr="007051AD">
        <w:rPr>
          <w:b/>
        </w:rPr>
        <w:t xml:space="preserve"> </w:t>
      </w:r>
      <w:proofErr w:type="spellStart"/>
      <w:r w:rsidRPr="007051AD">
        <w:rPr>
          <w:b/>
        </w:rPr>
        <w:t>EN</w:t>
      </w:r>
      <w:proofErr w:type="spellEnd"/>
      <w:r w:rsidRPr="007051AD">
        <w:rPr>
          <w:b/>
        </w:rPr>
        <w:t xml:space="preserve"> 15287-1 a ČSN </w:t>
      </w:r>
      <w:proofErr w:type="spellStart"/>
      <w:r w:rsidRPr="007051AD">
        <w:rPr>
          <w:b/>
        </w:rPr>
        <w:t>EN</w:t>
      </w:r>
      <w:proofErr w:type="spellEnd"/>
      <w:r w:rsidRPr="007051AD">
        <w:rPr>
          <w:b/>
        </w:rPr>
        <w:t xml:space="preserve"> 15287-2</w:t>
      </w:r>
    </w:p>
    <w:p w:rsidR="00765878" w:rsidRPr="00765878" w:rsidRDefault="00765878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0511ED" w:rsidRPr="001C1A49" w:rsidRDefault="00E02E9C" w:rsidP="006553C6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C1A49">
        <w:rPr>
          <w:b/>
        </w:rPr>
        <w:t>Odůvodnění:</w:t>
      </w:r>
    </w:p>
    <w:p w:rsidR="00930717" w:rsidRDefault="00C83C6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C83C6D">
        <w:t xml:space="preserve">Návrh vyhlášky je vydán na základě </w:t>
      </w:r>
      <w:r>
        <w:t xml:space="preserve">zmocnění v </w:t>
      </w:r>
      <w:r w:rsidRPr="00C83C6D">
        <w:t>zákon</w:t>
      </w:r>
      <w:r>
        <w:t>ě</w:t>
      </w:r>
      <w:r w:rsidRPr="00C83C6D">
        <w:t xml:space="preserve"> 133/1985 Sb., o požární ochraně</w:t>
      </w:r>
      <w:r>
        <w:t xml:space="preserve">. Účelem zákona je </w:t>
      </w:r>
      <w:r w:rsidRPr="00C83C6D">
        <w:t>vytvořit podmínky pro účinnou ochranu života a zdraví občanů a majetku před požáry</w:t>
      </w:r>
      <w:r w:rsidR="008B7066">
        <w:t>,</w:t>
      </w:r>
      <w:r>
        <w:t xml:space="preserve"> zákon rovněž deklaruje, že každ</w:t>
      </w:r>
      <w:r w:rsidRPr="00C83C6D">
        <w:t xml:space="preserve">ý je povinen počínat si tak, aby nezavdal příčinu ke vzniku požár </w:t>
      </w:r>
      <w:r>
        <w:t>(viz § 1 Úvodní ustanovení).</w:t>
      </w:r>
    </w:p>
    <w:p w:rsidR="00801F4D" w:rsidRDefault="008B7066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8B7066">
        <w:t>Vyhláš</w:t>
      </w:r>
      <w:r>
        <w:t>ka</w:t>
      </w:r>
      <w:r w:rsidRPr="008B7066">
        <w:t xml:space="preserve"> o čištění, kontrole a revizi spalinové cesty</w:t>
      </w:r>
      <w:r>
        <w:t xml:space="preserve"> </w:t>
      </w:r>
      <w:r w:rsidRPr="008B7066">
        <w:t>může</w:t>
      </w:r>
      <w:r w:rsidR="00637D0D" w:rsidRPr="00637D0D">
        <w:t xml:space="preserve"> </w:t>
      </w:r>
      <w:r w:rsidR="00801F4D" w:rsidRPr="00DA363B">
        <w:rPr>
          <w:sz w:val="24"/>
          <w:szCs w:val="24"/>
        </w:rPr>
        <w:t xml:space="preserve">podle Ústavy České republiky stanovit </w:t>
      </w:r>
      <w:r w:rsidR="00801F4D">
        <w:rPr>
          <w:sz w:val="24"/>
          <w:szCs w:val="24"/>
        </w:rPr>
        <w:t xml:space="preserve">pouze </w:t>
      </w:r>
      <w:r w:rsidR="00801F4D" w:rsidRPr="00DA363B">
        <w:rPr>
          <w:sz w:val="24"/>
          <w:szCs w:val="24"/>
        </w:rPr>
        <w:t>povinnosti na základě a v mezích zákona (</w:t>
      </w:r>
      <w:r w:rsidR="00801F4D" w:rsidRPr="00DA363B">
        <w:rPr>
          <w:i/>
          <w:sz w:val="24"/>
          <w:szCs w:val="24"/>
        </w:rPr>
        <w:t xml:space="preserve">čl. 79 </w:t>
      </w:r>
      <w:r w:rsidR="00801F4D">
        <w:rPr>
          <w:i/>
          <w:sz w:val="24"/>
          <w:szCs w:val="24"/>
        </w:rPr>
        <w:t>„</w:t>
      </w:r>
      <w:r w:rsidR="00801F4D" w:rsidRPr="00DA363B">
        <w:rPr>
          <w:i/>
          <w:sz w:val="24"/>
          <w:szCs w:val="24"/>
        </w:rPr>
        <w:t xml:space="preserve">(3) Ministerstva, jiné správní úřady a orgány územní samosprávy mohou </w:t>
      </w:r>
      <w:r w:rsidR="00801F4D" w:rsidRPr="00DA363B">
        <w:rPr>
          <w:b/>
          <w:i/>
          <w:sz w:val="24"/>
          <w:szCs w:val="24"/>
        </w:rPr>
        <w:t>na základě a v mezích zákona vydávat právní předpisy</w:t>
      </w:r>
      <w:r w:rsidR="00801F4D" w:rsidRPr="00DA363B">
        <w:rPr>
          <w:i/>
          <w:sz w:val="24"/>
          <w:szCs w:val="24"/>
        </w:rPr>
        <w:t>, jsou-li k tomu zákonem zmocněny.</w:t>
      </w:r>
      <w:r w:rsidR="00801F4D">
        <w:rPr>
          <w:i/>
          <w:sz w:val="24"/>
          <w:szCs w:val="24"/>
        </w:rPr>
        <w:t>“</w:t>
      </w:r>
      <w:r w:rsidR="00801F4D" w:rsidRPr="00DA363B">
        <w:rPr>
          <w:sz w:val="24"/>
          <w:szCs w:val="24"/>
        </w:rPr>
        <w:t>) Zpřesnění uvedeného článku obsahuje zákon č. 89/2012 Sb., občanský zákoník</w:t>
      </w:r>
      <w:r w:rsidR="00801F4D">
        <w:rPr>
          <w:sz w:val="24"/>
          <w:szCs w:val="24"/>
        </w:rPr>
        <w:t xml:space="preserve"> ve svém § 2 odst. 2 takto:</w:t>
      </w:r>
    </w:p>
    <w:p w:rsidR="00801F4D" w:rsidRDefault="00801F4D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Pr="00DA363B">
        <w:rPr>
          <w:i/>
          <w:sz w:val="24"/>
          <w:szCs w:val="24"/>
        </w:rPr>
        <w:t xml:space="preserve">(2) </w:t>
      </w:r>
      <w:r w:rsidRPr="00DA363B">
        <w:rPr>
          <w:b/>
          <w:i/>
          <w:sz w:val="24"/>
          <w:szCs w:val="24"/>
        </w:rPr>
        <w:t>Zákonnému ustanovení nelze přikládat jiný význam, než jaký plyne z vlastního smyslu slov v jejich vzájemné souvislosti a z jasného úmyslu zákonodárce</w:t>
      </w:r>
      <w:r w:rsidRPr="00DA363B">
        <w:rPr>
          <w:i/>
          <w:sz w:val="24"/>
          <w:szCs w:val="24"/>
        </w:rPr>
        <w:t>; nikdo se však nesmí dovolávat slov právního předpisu proti jeho smyslu</w:t>
      </w:r>
      <w:r>
        <w:rPr>
          <w:i/>
          <w:sz w:val="24"/>
          <w:szCs w:val="24"/>
        </w:rPr>
        <w:t>.“</w:t>
      </w:r>
    </w:p>
    <w:p w:rsidR="00000000" w:rsidRDefault="00801F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/>
          <w:sz w:val="24"/>
          <w:szCs w:val="24"/>
        </w:rPr>
      </w:pPr>
      <w:r w:rsidRPr="00DA363B">
        <w:rPr>
          <w:sz w:val="24"/>
          <w:szCs w:val="24"/>
        </w:rPr>
        <w:t>Úmysl zákonodárce je v případě zákona č. 133/1985 Sb., o požární ochraně, naprosto zřejmý nejen z názvu,</w:t>
      </w:r>
      <w:r>
        <w:rPr>
          <w:sz w:val="24"/>
          <w:szCs w:val="24"/>
        </w:rPr>
        <w:t xml:space="preserve"> ale i z § 1 – je jím prevence požárů. Tu je nutno provádět samozřejmě v případech, kdy je riziko požáru.</w:t>
      </w:r>
    </w:p>
    <w:p w:rsidR="00801F4D" w:rsidRDefault="00801F4D" w:rsidP="00801F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DA363B">
        <w:rPr>
          <w:sz w:val="24"/>
          <w:szCs w:val="24"/>
        </w:rPr>
        <w:t>Vyhláška o čištění, kontrole a revizi spalinové cesty může tedy stanovit povinnosti pouze z hlediska prevence požárů, tj. u odvodů spalin, u nichž hrozí požár. Riziko požáru není zcela jistě u odvodů spalin, u nich</w:t>
      </w:r>
      <w:r>
        <w:rPr>
          <w:sz w:val="24"/>
          <w:szCs w:val="24"/>
        </w:rPr>
        <w:t>ž není požadována odolnost při</w:t>
      </w:r>
      <w:r w:rsidRPr="00DA363B">
        <w:rPr>
          <w:sz w:val="24"/>
          <w:szCs w:val="24"/>
        </w:rPr>
        <w:t xml:space="preserve"> vyhoření sazí. Ta není vyžadována u běžných plynových spotřebičů.</w:t>
      </w:r>
    </w:p>
    <w:p w:rsidR="00765878" w:rsidRDefault="00DD13AB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V případě odvodů spalin u běžných plynových spotřebičů </w:t>
      </w:r>
      <w:r w:rsidR="00524378">
        <w:t>neexistuje riziko vzniku požáru</w:t>
      </w:r>
      <w:r w:rsidR="00637D0D">
        <w:t xml:space="preserve"> z důvodu jejich nízké výstupní teploty </w:t>
      </w:r>
      <w:r w:rsidR="006918A3">
        <w:t>ze spotřebiče do spalinové cesty</w:t>
      </w:r>
      <w:r w:rsidR="00BC4F10">
        <w:t xml:space="preserve"> (nejmarkantnější je to u</w:t>
      </w:r>
      <w:r w:rsidR="0081146F">
        <w:t> </w:t>
      </w:r>
      <w:r w:rsidR="00BC4F10">
        <w:t xml:space="preserve">kondenzačních kotlů, kde </w:t>
      </w:r>
      <w:r w:rsidR="00F777FD">
        <w:t xml:space="preserve">se pohybuje tato teplota kolem 50°C, přičemž </w:t>
      </w:r>
      <w:r w:rsidR="00BC4F10">
        <w:t xml:space="preserve">komínová vložka </w:t>
      </w:r>
      <w:r w:rsidR="00F777FD">
        <w:t xml:space="preserve">musí být </w:t>
      </w:r>
      <w:r w:rsidR="00BC4F10">
        <w:t>z plastu)</w:t>
      </w:r>
      <w:r w:rsidR="0081146F">
        <w:t xml:space="preserve">. </w:t>
      </w:r>
      <w:r w:rsidR="00203C55">
        <w:t>Rovněž tak neexistuje jakékoliv riziko vzniku požáru u</w:t>
      </w:r>
      <w:r w:rsidR="00203C55" w:rsidRPr="004F6633">
        <w:rPr>
          <w:b/>
        </w:rPr>
        <w:t xml:space="preserve"> </w:t>
      </w:r>
      <w:r w:rsidR="007051AD" w:rsidRPr="007051AD">
        <w:t>spalinových cest sloužících jako digestoře nad tepelnými spotřebiči</w:t>
      </w:r>
      <w:r w:rsidR="0081146F">
        <w:t>.</w:t>
      </w:r>
    </w:p>
    <w:p w:rsidR="00DD13AB" w:rsidRDefault="0076587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Proto p</w:t>
      </w:r>
      <w:r w:rsidR="00DD13AB">
        <w:t>ožadavek na provádění kontroly spalinové cesty z důvodu prevence vzniku požáru u</w:t>
      </w:r>
      <w:r w:rsidR="0081146F">
        <w:t> </w:t>
      </w:r>
      <w:r w:rsidR="00DD13AB">
        <w:t>zařízení, kde toto riziko nehrozí, považujeme za neodůvodněné.</w:t>
      </w:r>
    </w:p>
    <w:p w:rsidR="00DD13AB" w:rsidRDefault="00DD13AB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DD13AB">
        <w:lastRenderedPageBreak/>
        <w:t xml:space="preserve">U spalinových cest od plynových spotřebičů, u nichž není požadována odolnost </w:t>
      </w:r>
      <w:r w:rsidR="0051212C">
        <w:t>při</w:t>
      </w:r>
      <w:r w:rsidR="0051212C" w:rsidRPr="00DD13AB">
        <w:t xml:space="preserve"> </w:t>
      </w:r>
      <w:r w:rsidRPr="00DD13AB">
        <w:t>vyhoření sazí, se provádě</w:t>
      </w:r>
      <w:r>
        <w:t>jí</w:t>
      </w:r>
      <w:r w:rsidRPr="00DD13AB">
        <w:t xml:space="preserve"> úkony (přejímka, kontroly) podle příslušných normativních dokumentů (v současnosti např. ČSN </w:t>
      </w:r>
      <w:proofErr w:type="spellStart"/>
      <w:r w:rsidRPr="00DD13AB">
        <w:t>EN</w:t>
      </w:r>
      <w:proofErr w:type="spellEnd"/>
      <w:r w:rsidRPr="00DD13AB">
        <w:t xml:space="preserve"> 15287-1+</w:t>
      </w:r>
      <w:proofErr w:type="spellStart"/>
      <w:r w:rsidRPr="00DD13AB">
        <w:t>A1</w:t>
      </w:r>
      <w:proofErr w:type="spellEnd"/>
      <w:r w:rsidRPr="00DD13AB">
        <w:t xml:space="preserve"> „Komíny – Navrhování, provádění a přejímka komínů – Část 1: Komíny pro otevřené spotřebiče paliv“ a ČSN </w:t>
      </w:r>
      <w:proofErr w:type="spellStart"/>
      <w:r w:rsidRPr="00DD13AB">
        <w:t>EN</w:t>
      </w:r>
      <w:proofErr w:type="spellEnd"/>
      <w:r w:rsidRPr="00DD13AB">
        <w:t xml:space="preserve"> 15287-2 „Komíny – Navrhování, provádění a</w:t>
      </w:r>
      <w:r w:rsidR="00141AAA">
        <w:t> </w:t>
      </w:r>
      <w:r w:rsidRPr="00DD13AB">
        <w:t>přejímka komínů – Část 2: Komíny pro uzavřené spotřebiče paliv“).</w:t>
      </w:r>
    </w:p>
    <w:p w:rsidR="00203C55" w:rsidRDefault="00141AAA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Požadavky na </w:t>
      </w:r>
      <w:r w:rsidR="00DF26BF">
        <w:t xml:space="preserve">uvádění do provozu a </w:t>
      </w:r>
      <w:r>
        <w:t xml:space="preserve">provoz plynových spotřebičů </w:t>
      </w:r>
      <w:r w:rsidR="00B117A3">
        <w:t xml:space="preserve">v dostatečné míře </w:t>
      </w:r>
      <w:r>
        <w:t>upravuj</w:t>
      </w:r>
      <w:r w:rsidR="00DF26BF">
        <w:t xml:space="preserve">í </w:t>
      </w:r>
      <w:r w:rsidR="001D64A0">
        <w:t>příslušné české technické normy a normativní dokumenty (</w:t>
      </w:r>
      <w:r w:rsidR="007051AD" w:rsidRPr="007051AD">
        <w:t>oborové předpisy</w:t>
      </w:r>
      <w:r w:rsidR="001D64A0">
        <w:t>)</w:t>
      </w:r>
      <w:r w:rsidR="00B117A3">
        <w:t xml:space="preserve">, ve kterých je zejména z důvodu nebezpečí otravy oxidem </w:t>
      </w:r>
      <w:r w:rsidR="0051212C">
        <w:t>uhelnatým</w:t>
      </w:r>
      <w:r w:rsidR="00B117A3">
        <w:t xml:space="preserve">, kladen vysoký důraz na správné provedení </w:t>
      </w:r>
      <w:proofErr w:type="spellStart"/>
      <w:proofErr w:type="gramStart"/>
      <w:r w:rsidR="00B117A3">
        <w:t>vzducho</w:t>
      </w:r>
      <w:proofErr w:type="spellEnd"/>
      <w:r w:rsidR="00B117A3">
        <w:t>–palivové</w:t>
      </w:r>
      <w:proofErr w:type="gramEnd"/>
      <w:r w:rsidR="00B117A3">
        <w:t xml:space="preserve"> cesty.</w:t>
      </w:r>
      <w:r w:rsidR="00E37BEA">
        <w:t xml:space="preserve"> </w:t>
      </w:r>
    </w:p>
    <w:p w:rsidR="00203C55" w:rsidRDefault="00203C55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Kontrola spalinové cesty</w:t>
      </w:r>
      <w:r w:rsidR="00801F4D">
        <w:t xml:space="preserve"> z důvodu prevence vzniku požáru</w:t>
      </w:r>
      <w:r>
        <w:t xml:space="preserve"> má význam pouze u velice specifických průmyslových plynových spotřebičů, </w:t>
      </w:r>
      <w:r w:rsidR="007051AD" w:rsidRPr="007051AD">
        <w:t xml:space="preserve">u nichž je výrobcem požadována odolnost při vyhoření sazí podle již výše zmíněných ČSN </w:t>
      </w:r>
      <w:proofErr w:type="spellStart"/>
      <w:r w:rsidRPr="00DD13AB">
        <w:t>EN</w:t>
      </w:r>
      <w:proofErr w:type="spellEnd"/>
      <w:r w:rsidRPr="00DD13AB">
        <w:t xml:space="preserve"> 15287-1</w:t>
      </w:r>
      <w:r>
        <w:t xml:space="preserve"> a </w:t>
      </w:r>
      <w:r w:rsidRPr="00DD13AB">
        <w:t xml:space="preserve">ČSN </w:t>
      </w:r>
      <w:proofErr w:type="spellStart"/>
      <w:r w:rsidRPr="00DD13AB">
        <w:t>EN</w:t>
      </w:r>
      <w:proofErr w:type="spellEnd"/>
      <w:r w:rsidRPr="00DD13AB">
        <w:t xml:space="preserve"> 15287-2</w:t>
      </w:r>
      <w:r>
        <w:t>.</w:t>
      </w:r>
    </w:p>
    <w:p w:rsidR="00765878" w:rsidRDefault="0076587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Námi požadovaná úprava vychází z výše uvedeného odůvodnění.</w:t>
      </w:r>
    </w:p>
    <w:p w:rsidR="000511ED" w:rsidRPr="001C1A49" w:rsidRDefault="000511ED" w:rsidP="00DD13A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8A7698" w:rsidRPr="001C1A49" w:rsidRDefault="008A7698" w:rsidP="008A769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8A7698" w:rsidRPr="001C1A49" w:rsidRDefault="008A7698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C1A49">
        <w:rPr>
          <w:b/>
        </w:rPr>
        <w:t>Připomínka k</w:t>
      </w:r>
      <w:r w:rsidR="00AF79DF">
        <w:rPr>
          <w:b/>
        </w:rPr>
        <w:t xml:space="preserve"> § 3</w:t>
      </w:r>
      <w:r w:rsidR="00A959D6">
        <w:rPr>
          <w:b/>
        </w:rPr>
        <w:t xml:space="preserve"> odst. 1</w:t>
      </w:r>
    </w:p>
    <w:p w:rsidR="00AF79DF" w:rsidRDefault="00AF79DF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 § 3 navrhujeme v odst. 1 vypustit písmeno b), c) a d). </w:t>
      </w:r>
      <w:r w:rsidR="00BC60AE">
        <w:t>§ 3 odst. 1 nově zní:</w:t>
      </w:r>
    </w:p>
    <w:p w:rsidR="00BC60AE" w:rsidRPr="00BC60AE" w:rsidRDefault="00BC60AE" w:rsidP="00BC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t>„</w:t>
      </w:r>
      <w:r w:rsidRPr="00BC60AE">
        <w:rPr>
          <w:b/>
        </w:rPr>
        <w:t>(1)</w:t>
      </w:r>
      <w:r w:rsidRPr="00BC60AE">
        <w:rPr>
          <w:b/>
        </w:rPr>
        <w:tab/>
        <w:t>Revize spalinové cesty se provádí</w:t>
      </w:r>
    </w:p>
    <w:p w:rsidR="00AF79DF" w:rsidRPr="00BC60AE" w:rsidRDefault="00BC60AE" w:rsidP="00BC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b/>
        </w:rPr>
      </w:pPr>
      <w:r w:rsidRPr="00BC60AE">
        <w:rPr>
          <w:b/>
        </w:rPr>
        <w:t>a)</w:t>
      </w:r>
      <w:r w:rsidRPr="00BC60AE">
        <w:rPr>
          <w:b/>
        </w:rPr>
        <w:tab/>
        <w:t>před uvedením spalinové cesty do provozu nebo po každé stavební úpravě komínu,</w:t>
      </w:r>
    </w:p>
    <w:p w:rsidR="00BC60AE" w:rsidRPr="00BC60AE" w:rsidRDefault="00BC60AE" w:rsidP="00BC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b/>
        </w:rPr>
      </w:pPr>
      <w:r w:rsidRPr="00BC60AE">
        <w:rPr>
          <w:b/>
        </w:rPr>
        <w:t>b)</w:t>
      </w:r>
      <w:r w:rsidRPr="00BC60AE">
        <w:rPr>
          <w:b/>
        </w:rPr>
        <w:tab/>
        <w:t>po komínovém požáru, nebo</w:t>
      </w:r>
    </w:p>
    <w:p w:rsidR="00BC60AE" w:rsidRDefault="00BC60AE" w:rsidP="00BC6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</w:pPr>
      <w:r w:rsidRPr="00BC60AE">
        <w:rPr>
          <w:b/>
        </w:rPr>
        <w:t>c)</w:t>
      </w:r>
      <w:r w:rsidRPr="00BC60AE">
        <w:rPr>
          <w:b/>
        </w:rPr>
        <w:tab/>
        <w:t>při vzniku trhlin ve spalinové cestě, jakož i při důvodném podezření na výskyt trhlin ve spalinové cestě.</w:t>
      </w:r>
      <w:r>
        <w:t>“</w:t>
      </w:r>
    </w:p>
    <w:p w:rsidR="00BC60AE" w:rsidRDefault="00BC60AE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BC60AE" w:rsidRPr="001C1A49" w:rsidRDefault="00BC60AE" w:rsidP="00BC60AE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C1A49">
        <w:rPr>
          <w:b/>
        </w:rPr>
        <w:t>Odůvodnění:</w:t>
      </w:r>
    </w:p>
    <w:p w:rsidR="00F75A3B" w:rsidRDefault="00F75A3B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Revize spalinové </w:t>
      </w:r>
      <w:r w:rsidR="00BC60AE" w:rsidRPr="00BC60AE">
        <w:t xml:space="preserve">je věcně shodná s přejímkou komína podle ČSN </w:t>
      </w:r>
      <w:proofErr w:type="spellStart"/>
      <w:r w:rsidR="00BC60AE" w:rsidRPr="00BC60AE">
        <w:t>EN</w:t>
      </w:r>
      <w:proofErr w:type="spellEnd"/>
      <w:r w:rsidR="00BC60AE" w:rsidRPr="00BC60AE">
        <w:t xml:space="preserve"> 15287-1+</w:t>
      </w:r>
      <w:proofErr w:type="spellStart"/>
      <w:r w:rsidR="00BC60AE" w:rsidRPr="00BC60AE">
        <w:t>A1</w:t>
      </w:r>
      <w:proofErr w:type="spellEnd"/>
      <w:r w:rsidR="00BC60AE" w:rsidRPr="00BC60AE">
        <w:t xml:space="preserve"> „Komíny – Navrhování, provádění a přejímka komínů – Část 1: Komíny pro otevřené spotřebiče paliv“ a</w:t>
      </w:r>
      <w:r w:rsidR="00BC60AE">
        <w:t> </w:t>
      </w:r>
      <w:r w:rsidR="00BC60AE" w:rsidRPr="00BC60AE">
        <w:t xml:space="preserve">ČSN </w:t>
      </w:r>
      <w:proofErr w:type="spellStart"/>
      <w:r w:rsidR="00BC60AE" w:rsidRPr="00BC60AE">
        <w:t>EN</w:t>
      </w:r>
      <w:proofErr w:type="spellEnd"/>
      <w:r w:rsidR="00BC60AE" w:rsidRPr="00BC60AE">
        <w:t xml:space="preserve"> 15287-2 „Komíny – Navrhování, provádění a přejímka komínů – Část 2: Komíny pro uzavřené spotřebiče paliv“.</w:t>
      </w:r>
      <w:r>
        <w:t xml:space="preserve"> </w:t>
      </w:r>
      <w:r w:rsidR="00BC60AE" w:rsidRPr="00BC60AE">
        <w:t xml:space="preserve">Přejímka komína se podle těchto předpisů provádí po </w:t>
      </w:r>
      <w:r>
        <w:t xml:space="preserve">jejich </w:t>
      </w:r>
      <w:r w:rsidR="00BC60AE" w:rsidRPr="00BC60AE">
        <w:t>montáži.</w:t>
      </w:r>
    </w:p>
    <w:p w:rsidR="008850DC" w:rsidRDefault="00BC60AE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BC60AE">
        <w:t>Revize má smysl i po komínovém požáru, nebo při vzniku trhlin ve spalinové cestě, jakož i při důvodném podezření na výskyt trhlin ve spalinové cestě.</w:t>
      </w:r>
      <w:r w:rsidR="00F75A3B" w:rsidRPr="00F75A3B">
        <w:t xml:space="preserve"> </w:t>
      </w:r>
      <w:r w:rsidR="00F75A3B" w:rsidRPr="00BC60AE">
        <w:t>Při revizi neboli přejímce se</w:t>
      </w:r>
      <w:r w:rsidR="00F75A3B">
        <w:t xml:space="preserve"> </w:t>
      </w:r>
      <w:r w:rsidR="00FE5272">
        <w:t xml:space="preserve">mj. </w:t>
      </w:r>
      <w:r w:rsidR="00F75A3B" w:rsidRPr="00BC60AE">
        <w:t>kontroluje</w:t>
      </w:r>
      <w:r w:rsidR="00CE32C4">
        <w:t>,</w:t>
      </w:r>
      <w:r w:rsidR="00F75A3B" w:rsidRPr="00BC60AE">
        <w:t xml:space="preserve"> zda je spalinová cesta opatřena identifikačním štítkem.</w:t>
      </w:r>
      <w:r w:rsidR="00F75A3B">
        <w:t xml:space="preserve"> Tento štítek jasně definuje parametry (vhodnost použití) zhotoveného komína a jakákoliv manipulace se spotřebičem (výměna, změna paliva, nová instalace) nemůže ovlivnit jeho funkci. </w:t>
      </w:r>
      <w:r w:rsidR="00F75A3B" w:rsidRPr="00F75A3B">
        <w:t xml:space="preserve">Před </w:t>
      </w:r>
      <w:r w:rsidR="00CE32C4">
        <w:t xml:space="preserve">výměnou či připojením </w:t>
      </w:r>
      <w:r w:rsidR="00F75A3B" w:rsidRPr="00F75A3B">
        <w:t xml:space="preserve">nového </w:t>
      </w:r>
      <w:r w:rsidR="00CE32C4">
        <w:t xml:space="preserve">spotřebiče se </w:t>
      </w:r>
      <w:r w:rsidR="00F75A3B" w:rsidRPr="00F75A3B">
        <w:t xml:space="preserve">musí provést výpočet </w:t>
      </w:r>
      <w:r w:rsidR="00F75A3B">
        <w:t xml:space="preserve">a </w:t>
      </w:r>
      <w:r w:rsidR="00CE32C4">
        <w:t xml:space="preserve">vzhledem k daným parametrům </w:t>
      </w:r>
      <w:r w:rsidR="00CE32C4" w:rsidRPr="00F75A3B">
        <w:t>(teplotní a tlaková třída, korozivzdornost atd.)</w:t>
      </w:r>
      <w:r w:rsidR="00CE32C4">
        <w:t xml:space="preserve"> komína (štítkové údaje) rozhodnout, zda je daný spotřebič možné k tomuto komínu připojit</w:t>
      </w:r>
      <w:r w:rsidR="00F75A3B" w:rsidRPr="00F75A3B">
        <w:t>.</w:t>
      </w:r>
      <w:r w:rsidR="00CE32C4">
        <w:t xml:space="preserve"> Pokud je komín pro daný spotřebič nevyhovující, pak se buď musí vybrat jiný spotřebič, nebo provést stavební úprav</w:t>
      </w:r>
      <w:r w:rsidR="00FE5272">
        <w:t>a</w:t>
      </w:r>
      <w:r w:rsidR="00CE32C4">
        <w:t xml:space="preserve"> komína se vším co s tím souvisí.</w:t>
      </w:r>
      <w:r w:rsidR="008850DC">
        <w:t xml:space="preserve"> Proto je revize zcela zbytečná v případech uvedených pod písmeny b), c) a d) návrhu vyhlášky. </w:t>
      </w:r>
    </w:p>
    <w:p w:rsidR="008850DC" w:rsidRDefault="008850DC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Smysl revize spalinové cesty je stejný jako účel výchozí revize elektrické instalace</w:t>
      </w:r>
      <w:r w:rsidR="007F2972">
        <w:t xml:space="preserve">, u níž se </w:t>
      </w:r>
      <w:r w:rsidR="007F2972">
        <w:rPr>
          <w:sz w:val="24"/>
          <w:szCs w:val="24"/>
        </w:rPr>
        <w:t>p</w:t>
      </w:r>
      <w:r w:rsidR="007F2972" w:rsidRPr="0032328E">
        <w:rPr>
          <w:sz w:val="24"/>
          <w:szCs w:val="24"/>
        </w:rPr>
        <w:t>řed připojením nové</w:t>
      </w:r>
      <w:r w:rsidR="007F2972">
        <w:rPr>
          <w:sz w:val="24"/>
          <w:szCs w:val="24"/>
        </w:rPr>
        <w:t>ho</w:t>
      </w:r>
      <w:r w:rsidR="007F2972" w:rsidRPr="0032328E">
        <w:rPr>
          <w:sz w:val="24"/>
          <w:szCs w:val="24"/>
        </w:rPr>
        <w:t xml:space="preserve"> </w:t>
      </w:r>
      <w:r w:rsidR="007F2972">
        <w:rPr>
          <w:sz w:val="24"/>
          <w:szCs w:val="24"/>
        </w:rPr>
        <w:t xml:space="preserve">spotřebiče v žádném případě neprovádí </w:t>
      </w:r>
      <w:r w:rsidR="007F2972" w:rsidRPr="0032328E">
        <w:rPr>
          <w:sz w:val="24"/>
          <w:szCs w:val="24"/>
        </w:rPr>
        <w:t>nov</w:t>
      </w:r>
      <w:r w:rsidR="007F2972">
        <w:rPr>
          <w:sz w:val="24"/>
          <w:szCs w:val="24"/>
        </w:rPr>
        <w:t>á</w:t>
      </w:r>
      <w:r w:rsidR="007F2972" w:rsidRPr="0032328E">
        <w:rPr>
          <w:sz w:val="24"/>
          <w:szCs w:val="24"/>
        </w:rPr>
        <w:t xml:space="preserve"> reviz</w:t>
      </w:r>
      <w:r w:rsidR="007F2972">
        <w:rPr>
          <w:sz w:val="24"/>
          <w:szCs w:val="24"/>
        </w:rPr>
        <w:t xml:space="preserve">e elektrické </w:t>
      </w:r>
      <w:proofErr w:type="gramStart"/>
      <w:r w:rsidR="007F2972">
        <w:rPr>
          <w:sz w:val="24"/>
          <w:szCs w:val="24"/>
        </w:rPr>
        <w:t>instalace</w:t>
      </w:r>
      <w:r w:rsidR="00A4194F">
        <w:rPr>
          <w:sz w:val="24"/>
          <w:szCs w:val="24"/>
        </w:rPr>
        <w:t xml:space="preserve"> </w:t>
      </w:r>
      <w:r w:rsidR="007F2972">
        <w:rPr>
          <w:sz w:val="24"/>
          <w:szCs w:val="24"/>
        </w:rPr>
        <w:t>ale</w:t>
      </w:r>
      <w:proofErr w:type="gramEnd"/>
      <w:r w:rsidR="007F2972">
        <w:rPr>
          <w:sz w:val="24"/>
          <w:szCs w:val="24"/>
        </w:rPr>
        <w:t xml:space="preserve"> s</w:t>
      </w:r>
      <w:r w:rsidR="007F2972" w:rsidRPr="0032328E">
        <w:rPr>
          <w:sz w:val="24"/>
          <w:szCs w:val="24"/>
        </w:rPr>
        <w:t xml:space="preserve">tačí </w:t>
      </w:r>
      <w:r w:rsidR="007F2972">
        <w:rPr>
          <w:sz w:val="24"/>
          <w:szCs w:val="24"/>
        </w:rPr>
        <w:t xml:space="preserve">pouze </w:t>
      </w:r>
      <w:r w:rsidR="007F2972" w:rsidRPr="0032328E">
        <w:rPr>
          <w:sz w:val="24"/>
          <w:szCs w:val="24"/>
        </w:rPr>
        <w:t xml:space="preserve">posoudit, zda je </w:t>
      </w:r>
      <w:r w:rsidR="007F2972">
        <w:rPr>
          <w:sz w:val="24"/>
          <w:szCs w:val="24"/>
        </w:rPr>
        <w:t>tato</w:t>
      </w:r>
      <w:r w:rsidR="007F2972" w:rsidRPr="0032328E">
        <w:rPr>
          <w:sz w:val="24"/>
          <w:szCs w:val="24"/>
        </w:rPr>
        <w:t xml:space="preserve"> instalace </w:t>
      </w:r>
      <w:r w:rsidR="007F2972">
        <w:rPr>
          <w:sz w:val="24"/>
          <w:szCs w:val="24"/>
        </w:rPr>
        <w:t xml:space="preserve">vhodná </w:t>
      </w:r>
      <w:r w:rsidR="007F2972" w:rsidRPr="0032328E">
        <w:rPr>
          <w:sz w:val="24"/>
          <w:szCs w:val="24"/>
        </w:rPr>
        <w:t>k</w:t>
      </w:r>
      <w:r w:rsidR="007F2972">
        <w:rPr>
          <w:sz w:val="24"/>
          <w:szCs w:val="24"/>
        </w:rPr>
        <w:t xml:space="preserve"> jeho </w:t>
      </w:r>
      <w:r w:rsidR="007F2972" w:rsidRPr="0032328E">
        <w:rPr>
          <w:sz w:val="24"/>
          <w:szCs w:val="24"/>
        </w:rPr>
        <w:t>připojení</w:t>
      </w:r>
      <w:r w:rsidR="007F2972">
        <w:rPr>
          <w:sz w:val="24"/>
          <w:szCs w:val="24"/>
        </w:rPr>
        <w:t xml:space="preserve"> z hlediska příkonu, napětí a podmínek výrobce.</w:t>
      </w:r>
    </w:p>
    <w:p w:rsidR="00CE32C4" w:rsidRDefault="00CE32C4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CE32C4">
        <w:t xml:space="preserve">U spalinových cest od plynových spotřebičů, u nichž není požadována odolnost </w:t>
      </w:r>
      <w:r w:rsidR="00F85720">
        <w:t xml:space="preserve">při </w:t>
      </w:r>
      <w:r w:rsidRPr="00CE32C4">
        <w:t>vyhoření sazí, se budou provádět úkony (přejímka, kontroly) podle příslušných normativních dokumentů (v</w:t>
      </w:r>
      <w:r w:rsidR="00AE10B4">
        <w:t> </w:t>
      </w:r>
      <w:r w:rsidRPr="00CE32C4">
        <w:t xml:space="preserve">současnosti např. ČSN </w:t>
      </w:r>
      <w:proofErr w:type="spellStart"/>
      <w:r w:rsidRPr="00CE32C4">
        <w:t>EN</w:t>
      </w:r>
      <w:proofErr w:type="spellEnd"/>
      <w:r w:rsidRPr="00CE32C4">
        <w:t xml:space="preserve"> 15287-1+</w:t>
      </w:r>
      <w:proofErr w:type="spellStart"/>
      <w:r w:rsidRPr="00CE32C4">
        <w:t>A1</w:t>
      </w:r>
      <w:proofErr w:type="spellEnd"/>
      <w:r w:rsidRPr="00CE32C4">
        <w:t xml:space="preserve"> „Komíny – Navrhování, provádění a přejímka komínů – Část 1: Komíny pro otevřené spotřebiče paliv“ a ČSN </w:t>
      </w:r>
      <w:proofErr w:type="spellStart"/>
      <w:r w:rsidRPr="00CE32C4">
        <w:t>EN</w:t>
      </w:r>
      <w:proofErr w:type="spellEnd"/>
      <w:r w:rsidRPr="00CE32C4">
        <w:t xml:space="preserve"> 15287-2 „Komíny – Navrhování, provádění a přejímka komínů – Část 2: Komíny pro uzavřené spotřebiče paliv“).</w:t>
      </w:r>
    </w:p>
    <w:p w:rsidR="00CE32C4" w:rsidRDefault="00CE32C4" w:rsidP="008A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A2DB3" w:rsidRPr="00E369ED" w:rsidRDefault="00AA2DB3" w:rsidP="00AA2DB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AA2DB3" w:rsidRPr="001C1A49" w:rsidRDefault="00AA2DB3" w:rsidP="00AA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C1A49">
        <w:rPr>
          <w:b/>
        </w:rPr>
        <w:t>Připomínka k </w:t>
      </w:r>
      <w:r>
        <w:rPr>
          <w:b/>
        </w:rPr>
        <w:t>§ 3</w:t>
      </w:r>
    </w:p>
    <w:p w:rsidR="00AA2DB3" w:rsidRDefault="00AA2DB3" w:rsidP="00AA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 § 2 navrhujeme za stávající odstavec 1 nový odstavec 2, který zní:</w:t>
      </w:r>
    </w:p>
    <w:p w:rsidR="00AA2DB3" w:rsidRPr="004F6633" w:rsidRDefault="00D319EE" w:rsidP="00AA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319EE">
        <w:t>„</w:t>
      </w:r>
      <w:r w:rsidR="00AA2DB3" w:rsidRPr="004F6633">
        <w:rPr>
          <w:b/>
        </w:rPr>
        <w:t xml:space="preserve">(2) </w:t>
      </w:r>
      <w:r>
        <w:rPr>
          <w:b/>
        </w:rPr>
        <w:t xml:space="preserve">Revize spalinové cesty se neprovádí </w:t>
      </w:r>
      <w:r w:rsidRPr="00D319EE">
        <w:rPr>
          <w:b/>
        </w:rPr>
        <w:t>u spalinových cest sloužících jako digestoře nad tepelnými spotřebiči</w:t>
      </w:r>
      <w:r>
        <w:rPr>
          <w:b/>
        </w:rPr>
        <w:t>.</w:t>
      </w:r>
      <w:r w:rsidRPr="00D319EE">
        <w:t>“</w:t>
      </w:r>
    </w:p>
    <w:p w:rsidR="00AA2DB3" w:rsidRDefault="00AA2DB3" w:rsidP="00AA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lastRenderedPageBreak/>
        <w:t xml:space="preserve">Stávající </w:t>
      </w:r>
      <w:r w:rsidR="00D319EE">
        <w:t>odstavec 2 bude přečíslován.</w:t>
      </w:r>
    </w:p>
    <w:p w:rsidR="00AA2DB3" w:rsidRDefault="00AA2DB3" w:rsidP="00AA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A2DB3" w:rsidRPr="001C1A49" w:rsidRDefault="00AA2DB3" w:rsidP="00AA2DB3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C1A49">
        <w:rPr>
          <w:b/>
        </w:rPr>
        <w:t>Odůvodnění:</w:t>
      </w:r>
    </w:p>
    <w:p w:rsidR="00737CDD" w:rsidRDefault="00A959D6" w:rsidP="00AA2DB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Úprava vyjasňuje postavení digestoří, které přestože slouží převážně k odvodu par vznikajících při přípravě pokrmů, fakticky odvádějí i spaliny vznikající hořením plynových popř. kapalných paliv. K</w:t>
      </w:r>
      <w:r w:rsidR="00737CDD">
        <w:t xml:space="preserve"> oprávněnosti </w:t>
      </w:r>
      <w:r>
        <w:t xml:space="preserve">provádění </w:t>
      </w:r>
      <w:r w:rsidR="00737CDD">
        <w:t>kontrol a revizí digestoří viz připomínky k §§ 2 a 3.</w:t>
      </w:r>
    </w:p>
    <w:p w:rsidR="00AA2DB3" w:rsidRPr="001C1A49" w:rsidRDefault="00AA2DB3" w:rsidP="00AA2DB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AA2DB3" w:rsidRPr="001C1A49" w:rsidRDefault="00AA2DB3" w:rsidP="00AA2DB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C47A4" w:rsidRPr="001C1A49" w:rsidRDefault="002C47A4" w:rsidP="002C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C1A49">
        <w:rPr>
          <w:b/>
        </w:rPr>
        <w:t>Připomínka k</w:t>
      </w:r>
      <w:r>
        <w:rPr>
          <w:b/>
        </w:rPr>
        <w:t> příloze č. 1</w:t>
      </w:r>
    </w:p>
    <w:p w:rsidR="002C47A4" w:rsidRDefault="002C47A4" w:rsidP="002C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 příloze číslo 1 </w:t>
      </w:r>
      <w:r w:rsidR="007F2972">
        <w:t xml:space="preserve">požadujeme v tabulkové části vypustit poslední sloupec nadepsaný slovem </w:t>
      </w:r>
      <w:r w:rsidR="007051AD" w:rsidRPr="007051AD">
        <w:rPr>
          <w:b/>
        </w:rPr>
        <w:t>„Plynné“</w:t>
      </w:r>
      <w:r w:rsidR="007F2972">
        <w:t xml:space="preserve"> a </w:t>
      </w:r>
      <w:r>
        <w:t>navrhujeme doplnit nový bod 10, který zní:</w:t>
      </w:r>
    </w:p>
    <w:p w:rsidR="002C47A4" w:rsidRPr="004F6633" w:rsidRDefault="002C47A4" w:rsidP="002C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319EE">
        <w:t>„</w:t>
      </w:r>
      <w:r>
        <w:rPr>
          <w:b/>
        </w:rPr>
        <w:t xml:space="preserve">10. </w:t>
      </w:r>
      <w:r w:rsidRPr="002C47A4">
        <w:rPr>
          <w:b/>
        </w:rPr>
        <w:t>V případě plynových spotřebičů se kontrola a čištění provádí pouze u spalinových cest, u</w:t>
      </w:r>
      <w:r>
        <w:rPr>
          <w:b/>
        </w:rPr>
        <w:t> </w:t>
      </w:r>
      <w:r w:rsidRPr="002C47A4">
        <w:rPr>
          <w:b/>
        </w:rPr>
        <w:t xml:space="preserve">nichž je </w:t>
      </w:r>
      <w:r w:rsidR="00A4194F">
        <w:rPr>
          <w:b/>
        </w:rPr>
        <w:t xml:space="preserve">výrobcem </w:t>
      </w:r>
      <w:r w:rsidRPr="002C47A4">
        <w:rPr>
          <w:b/>
        </w:rPr>
        <w:t xml:space="preserve">požadována odolnost </w:t>
      </w:r>
      <w:r w:rsidR="00A4194F">
        <w:rPr>
          <w:b/>
        </w:rPr>
        <w:t>při</w:t>
      </w:r>
      <w:bookmarkStart w:id="0" w:name="_GoBack"/>
      <w:bookmarkEnd w:id="0"/>
      <w:r w:rsidR="00A4194F" w:rsidRPr="002C47A4">
        <w:rPr>
          <w:b/>
        </w:rPr>
        <w:t xml:space="preserve"> </w:t>
      </w:r>
      <w:r w:rsidRPr="002C47A4">
        <w:rPr>
          <w:b/>
        </w:rPr>
        <w:t>vyhoření sazí.</w:t>
      </w:r>
      <w:r w:rsidRPr="00D319EE">
        <w:t>“</w:t>
      </w:r>
    </w:p>
    <w:p w:rsidR="002C47A4" w:rsidRDefault="002C47A4" w:rsidP="002C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2C47A4" w:rsidRPr="001C1A49" w:rsidRDefault="002C47A4" w:rsidP="002C47A4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C1A49">
        <w:rPr>
          <w:b/>
        </w:rPr>
        <w:t>Odůvodnění:</w:t>
      </w:r>
    </w:p>
    <w:p w:rsidR="00FC5C2D" w:rsidRDefault="002C47A4" w:rsidP="002C47A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 xml:space="preserve">V případě plynových spotřebičů (s výjimkou speciálních technologií, kde je však stanoven požadavek na odolnost spalinové cesty </w:t>
      </w:r>
      <w:r w:rsidR="007F2972">
        <w:t xml:space="preserve">při </w:t>
      </w:r>
      <w:r>
        <w:t>vyhoření sazí) ne</w:t>
      </w:r>
      <w:r w:rsidR="00FC5C2D">
        <w:t xml:space="preserve">dochází </w:t>
      </w:r>
      <w:r w:rsidRPr="002C47A4">
        <w:t>při spalování v ČR užívaných topných plynů ke vzniku pevných látek – sazí</w:t>
      </w:r>
      <w:r w:rsidR="00FC5C2D">
        <w:t xml:space="preserve">. Vyhláškou navrhovaný způsob čištění spalinové cesty, spočívající v </w:t>
      </w:r>
      <w:r w:rsidR="00FC5C2D" w:rsidRPr="00FC5C2D">
        <w:t>odstranění pevných látek, usazenin a nečistot</w:t>
      </w:r>
      <w:r w:rsidR="00FC5C2D">
        <w:t xml:space="preserve"> a </w:t>
      </w:r>
      <w:r w:rsidR="00FC5C2D" w:rsidRPr="00FC5C2D">
        <w:t>výběr</w:t>
      </w:r>
      <w:r w:rsidR="00FC5C2D">
        <w:t>u</w:t>
      </w:r>
      <w:r w:rsidR="00FC5C2D" w:rsidRPr="00FC5C2D">
        <w:t xml:space="preserve"> pevných částí spalin v</w:t>
      </w:r>
      <w:r w:rsidR="00FC5C2D">
        <w:t> </w:t>
      </w:r>
      <w:r w:rsidR="00FC5C2D" w:rsidRPr="00FC5C2D">
        <w:t>komínu</w:t>
      </w:r>
      <w:r w:rsidR="00FC5C2D">
        <w:t xml:space="preserve"> tak v případě plynových spotřebičů nemá opodstatnění. Výběr kondenzátu je </w:t>
      </w:r>
      <w:r w:rsidR="00FE5272">
        <w:t>u </w:t>
      </w:r>
      <w:r w:rsidR="00FC5C2D">
        <w:t xml:space="preserve">kondenzačních kotlů zajištěn </w:t>
      </w:r>
      <w:r w:rsidR="0091259A">
        <w:t xml:space="preserve">jeho odvodem </w:t>
      </w:r>
      <w:r w:rsidR="00FC5C2D" w:rsidRPr="00FC5C2D">
        <w:t>do kanalizace</w:t>
      </w:r>
      <w:r w:rsidR="00FC5C2D">
        <w:t xml:space="preserve"> přímo </w:t>
      </w:r>
      <w:r w:rsidR="0091259A">
        <w:t xml:space="preserve">ze </w:t>
      </w:r>
      <w:r w:rsidR="00FC5C2D">
        <w:t xml:space="preserve">spotřebiče (množství par odcházejících do komína je v podstatě nulové), u ostatních spotřebičů je </w:t>
      </w:r>
      <w:r w:rsidR="00FC5C2D" w:rsidRPr="00FC5C2D">
        <w:t xml:space="preserve">sváděn do </w:t>
      </w:r>
      <w:r w:rsidR="00FC5C2D">
        <w:t>otevřené nádobky</w:t>
      </w:r>
      <w:r w:rsidR="00FC5C2D" w:rsidRPr="00FC5C2D">
        <w:t xml:space="preserve">, ze které se </w:t>
      </w:r>
      <w:r w:rsidR="00FC5C2D">
        <w:t xml:space="preserve">vzhledem k množství vznikajícího kondenzátu </w:t>
      </w:r>
      <w:r w:rsidR="00FC5C2D" w:rsidRPr="00FC5C2D">
        <w:t>zpravidla samovolně odpaří</w:t>
      </w:r>
      <w:r w:rsidR="00FC5C2D">
        <w:t>.</w:t>
      </w:r>
    </w:p>
    <w:p w:rsidR="002C47A4" w:rsidRDefault="0091259A" w:rsidP="002C47A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>
        <w:t>Ke kontrole viz připomínka k § 2.</w:t>
      </w:r>
    </w:p>
    <w:p w:rsidR="0091259A" w:rsidRPr="001C1A49" w:rsidRDefault="0091259A" w:rsidP="002C47A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9A5261" w:rsidRPr="001C1A49" w:rsidRDefault="009A5261" w:rsidP="009A526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9A5261" w:rsidRPr="001C1A49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C1A49">
        <w:rPr>
          <w:b/>
        </w:rPr>
        <w:t>Připomínka k</w:t>
      </w:r>
      <w:r>
        <w:rPr>
          <w:b/>
        </w:rPr>
        <w:t> příloze č. 2</w:t>
      </w:r>
    </w:p>
    <w:p w:rsidR="009A5261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 příloze číslo 2 navrhujeme na konec stávajícího textu „</w:t>
      </w:r>
      <w:r w:rsidRPr="009A5261">
        <w:t>Specifikace spalinové cesty, u které bylo provedeno čištění a kontrola, včetně druhu paliva a druhu, typu, provedení a výkonu připojeného spotřebiče paliv</w:t>
      </w:r>
      <w:r>
        <w:t>:“ doplnit nový text, který zní:</w:t>
      </w:r>
    </w:p>
    <w:p w:rsidR="009A5261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„</w:t>
      </w:r>
      <w:r w:rsidRPr="009A5261">
        <w:t xml:space="preserve">, </w:t>
      </w:r>
      <w:r w:rsidRPr="009A5261">
        <w:rPr>
          <w:b/>
        </w:rPr>
        <w:t xml:space="preserve">změřená hodnota tahu </w:t>
      </w:r>
      <w:proofErr w:type="gramStart"/>
      <w:r w:rsidRPr="009A5261">
        <w:rPr>
          <w:b/>
        </w:rPr>
        <w:t>komína v </w:t>
      </w:r>
      <w:proofErr w:type="spellStart"/>
      <w:r w:rsidRPr="009A5261">
        <w:rPr>
          <w:b/>
        </w:rPr>
        <w:t>Pa</w:t>
      </w:r>
      <w:proofErr w:type="spellEnd"/>
      <w:proofErr w:type="gramEnd"/>
      <w:r>
        <w:t>“</w:t>
      </w:r>
    </w:p>
    <w:p w:rsidR="009A5261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A5261" w:rsidRPr="009A5261" w:rsidRDefault="009A5261" w:rsidP="009A5261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9A5261">
        <w:rPr>
          <w:b/>
        </w:rPr>
        <w:t>Úplné znění:</w:t>
      </w:r>
    </w:p>
    <w:p w:rsidR="009A5261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„</w:t>
      </w:r>
      <w:r w:rsidRPr="009A5261">
        <w:t>Specifikace spalinové cesty, u které bylo provedeno čištění a kontrola, včetně druhu paliva a</w:t>
      </w:r>
      <w:r>
        <w:t> </w:t>
      </w:r>
      <w:r w:rsidRPr="009A5261">
        <w:t>druhu, typu, provedení a výkonu připojeného spotřebiče paliv</w:t>
      </w:r>
      <w:r w:rsidRPr="009A5261">
        <w:rPr>
          <w:b/>
        </w:rPr>
        <w:t xml:space="preserve">, změřená hodnota tahu </w:t>
      </w:r>
      <w:proofErr w:type="gramStart"/>
      <w:r w:rsidRPr="009A5261">
        <w:rPr>
          <w:b/>
        </w:rPr>
        <w:t>komína v </w:t>
      </w:r>
      <w:proofErr w:type="spellStart"/>
      <w:r w:rsidRPr="009A5261">
        <w:rPr>
          <w:b/>
        </w:rPr>
        <w:t>Pa</w:t>
      </w:r>
      <w:proofErr w:type="spellEnd"/>
      <w:proofErr w:type="gramEnd"/>
      <w:r w:rsidRPr="009A5261">
        <w:t>:</w:t>
      </w:r>
      <w:r>
        <w:t>“</w:t>
      </w:r>
    </w:p>
    <w:p w:rsidR="009A5261" w:rsidRDefault="009A5261" w:rsidP="009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A5261" w:rsidRPr="001C1A49" w:rsidRDefault="009A5261" w:rsidP="009A5261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C1A49">
        <w:rPr>
          <w:b/>
        </w:rPr>
        <w:t>Odůvodnění:</w:t>
      </w:r>
    </w:p>
    <w:p w:rsidR="009A5261" w:rsidRDefault="009A5261" w:rsidP="009A526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9A5261">
        <w:t>Hodnota tahu je základní</w:t>
      </w:r>
      <w:r>
        <w:t>m</w:t>
      </w:r>
      <w:r w:rsidRPr="009A5261">
        <w:t xml:space="preserve"> parametr</w:t>
      </w:r>
      <w:r>
        <w:t>em</w:t>
      </w:r>
      <w:r w:rsidRPr="009A5261">
        <w:t>, p</w:t>
      </w:r>
      <w:r>
        <w:t xml:space="preserve">ro </w:t>
      </w:r>
      <w:r w:rsidRPr="009A5261">
        <w:t>posou</w:t>
      </w:r>
      <w:r>
        <w:t xml:space="preserve">zení </w:t>
      </w:r>
      <w:r w:rsidRPr="009A5261">
        <w:t>funkčnost</w:t>
      </w:r>
      <w:r>
        <w:t>i</w:t>
      </w:r>
      <w:r w:rsidRPr="009A5261">
        <w:t xml:space="preserve"> komína.</w:t>
      </w:r>
    </w:p>
    <w:p w:rsidR="009A5261" w:rsidRPr="001C1A49" w:rsidRDefault="009A5261" w:rsidP="009A526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</w:p>
    <w:p w:rsidR="009A5261" w:rsidRPr="001C1A49" w:rsidRDefault="009A5261" w:rsidP="009A526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1C1A49" w:rsidRPr="00205F37" w:rsidRDefault="001C1A49" w:rsidP="001C1A49">
      <w:pPr>
        <w:pStyle w:val="Odstavecseseznamem"/>
        <w:spacing w:after="0" w:line="240" w:lineRule="auto"/>
        <w:ind w:left="0"/>
        <w:contextualSpacing w:val="0"/>
        <w:jc w:val="both"/>
      </w:pPr>
    </w:p>
    <w:p w:rsidR="001C1A49" w:rsidRDefault="001C1A49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1C1A49" w:rsidRDefault="001C1A49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1C1A49" w:rsidRPr="00A86B2C" w:rsidRDefault="001C1A49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A86B2C" w:rsidRPr="00A86B2C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A86B2C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A86B2C">
        <w:t xml:space="preserve">Praha </w:t>
      </w:r>
      <w:r w:rsidR="001C1A49">
        <w:t>2</w:t>
      </w:r>
      <w:r w:rsidRPr="00A86B2C">
        <w:t xml:space="preserve">1. </w:t>
      </w:r>
      <w:r w:rsidR="001C1A49">
        <w:t>prosince</w:t>
      </w:r>
      <w:r w:rsidRPr="00A86B2C">
        <w:t xml:space="preserve"> 2015</w:t>
      </w:r>
    </w:p>
    <w:sectPr w:rsidR="0048475A" w:rsidRPr="00A86B2C" w:rsidSect="00A86B2C">
      <w:headerReference w:type="first" r:id="rId9"/>
      <w:pgSz w:w="11906" w:h="16838" w:code="9"/>
      <w:pgMar w:top="2127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C3" w:rsidRDefault="00742BC3" w:rsidP="00A86B2C">
      <w:pPr>
        <w:spacing w:after="0" w:line="240" w:lineRule="auto"/>
      </w:pPr>
      <w:r>
        <w:separator/>
      </w:r>
    </w:p>
  </w:endnote>
  <w:endnote w:type="continuationSeparator" w:id="0">
    <w:p w:rsidR="00742BC3" w:rsidRDefault="00742BC3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C3" w:rsidRDefault="00742BC3" w:rsidP="00A86B2C">
      <w:pPr>
        <w:spacing w:after="0" w:line="240" w:lineRule="auto"/>
      </w:pPr>
      <w:r>
        <w:separator/>
      </w:r>
    </w:p>
  </w:footnote>
  <w:footnote w:type="continuationSeparator" w:id="0">
    <w:p w:rsidR="00742BC3" w:rsidRDefault="00742BC3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511ED"/>
    <w:rsid w:val="00085B92"/>
    <w:rsid w:val="000B5F11"/>
    <w:rsid w:val="000D0F58"/>
    <w:rsid w:val="00102933"/>
    <w:rsid w:val="00107BF2"/>
    <w:rsid w:val="0011347F"/>
    <w:rsid w:val="00137778"/>
    <w:rsid w:val="00141AAA"/>
    <w:rsid w:val="00170158"/>
    <w:rsid w:val="00193D68"/>
    <w:rsid w:val="001B5C83"/>
    <w:rsid w:val="001C1A49"/>
    <w:rsid w:val="001D64A0"/>
    <w:rsid w:val="001E276E"/>
    <w:rsid w:val="001F4636"/>
    <w:rsid w:val="00200A26"/>
    <w:rsid w:val="00203C55"/>
    <w:rsid w:val="00241F59"/>
    <w:rsid w:val="002515A5"/>
    <w:rsid w:val="00263AFD"/>
    <w:rsid w:val="00276473"/>
    <w:rsid w:val="002B3746"/>
    <w:rsid w:val="002C47A4"/>
    <w:rsid w:val="002F2828"/>
    <w:rsid w:val="002F792F"/>
    <w:rsid w:val="00302F26"/>
    <w:rsid w:val="0030729E"/>
    <w:rsid w:val="0032279B"/>
    <w:rsid w:val="00324F39"/>
    <w:rsid w:val="00356B06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52065"/>
    <w:rsid w:val="004660D4"/>
    <w:rsid w:val="0048475A"/>
    <w:rsid w:val="00493533"/>
    <w:rsid w:val="004A15F9"/>
    <w:rsid w:val="004C5DBF"/>
    <w:rsid w:val="004D5CCD"/>
    <w:rsid w:val="004F6633"/>
    <w:rsid w:val="00503560"/>
    <w:rsid w:val="0051212C"/>
    <w:rsid w:val="00524378"/>
    <w:rsid w:val="00535CAD"/>
    <w:rsid w:val="00552556"/>
    <w:rsid w:val="005664DD"/>
    <w:rsid w:val="00595359"/>
    <w:rsid w:val="005B1309"/>
    <w:rsid w:val="005C70D0"/>
    <w:rsid w:val="00625139"/>
    <w:rsid w:val="00637D0D"/>
    <w:rsid w:val="006552C7"/>
    <w:rsid w:val="006553C6"/>
    <w:rsid w:val="00663593"/>
    <w:rsid w:val="00674FEE"/>
    <w:rsid w:val="00691289"/>
    <w:rsid w:val="006918A3"/>
    <w:rsid w:val="006A4E50"/>
    <w:rsid w:val="006B71E4"/>
    <w:rsid w:val="006C7CE9"/>
    <w:rsid w:val="006E3A8F"/>
    <w:rsid w:val="007051AD"/>
    <w:rsid w:val="007069C5"/>
    <w:rsid w:val="007335B6"/>
    <w:rsid w:val="00737CDD"/>
    <w:rsid w:val="00742BC3"/>
    <w:rsid w:val="00765878"/>
    <w:rsid w:val="0077211F"/>
    <w:rsid w:val="0078571A"/>
    <w:rsid w:val="007E58AF"/>
    <w:rsid w:val="007E6A5E"/>
    <w:rsid w:val="007F2972"/>
    <w:rsid w:val="00801F4D"/>
    <w:rsid w:val="0081146F"/>
    <w:rsid w:val="0081645A"/>
    <w:rsid w:val="00834616"/>
    <w:rsid w:val="00837558"/>
    <w:rsid w:val="00843062"/>
    <w:rsid w:val="00844545"/>
    <w:rsid w:val="0085074D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6506"/>
    <w:rsid w:val="008D27E7"/>
    <w:rsid w:val="008E140E"/>
    <w:rsid w:val="008F1D8D"/>
    <w:rsid w:val="0091259A"/>
    <w:rsid w:val="00930717"/>
    <w:rsid w:val="00934F0B"/>
    <w:rsid w:val="009413A5"/>
    <w:rsid w:val="00950081"/>
    <w:rsid w:val="009A08CE"/>
    <w:rsid w:val="009A5261"/>
    <w:rsid w:val="009B3460"/>
    <w:rsid w:val="009C26A1"/>
    <w:rsid w:val="009C28C1"/>
    <w:rsid w:val="00A0284F"/>
    <w:rsid w:val="00A4194F"/>
    <w:rsid w:val="00A45A4F"/>
    <w:rsid w:val="00A57749"/>
    <w:rsid w:val="00A86B2C"/>
    <w:rsid w:val="00A959D6"/>
    <w:rsid w:val="00A95D1D"/>
    <w:rsid w:val="00AA2DB3"/>
    <w:rsid w:val="00AC23C2"/>
    <w:rsid w:val="00AC3D97"/>
    <w:rsid w:val="00AC6BB7"/>
    <w:rsid w:val="00AD4F46"/>
    <w:rsid w:val="00AE10B4"/>
    <w:rsid w:val="00AF79DF"/>
    <w:rsid w:val="00B01203"/>
    <w:rsid w:val="00B117A3"/>
    <w:rsid w:val="00B40EC9"/>
    <w:rsid w:val="00B74108"/>
    <w:rsid w:val="00B76AE6"/>
    <w:rsid w:val="00BA05C8"/>
    <w:rsid w:val="00BC4F10"/>
    <w:rsid w:val="00BC60AE"/>
    <w:rsid w:val="00BF39D5"/>
    <w:rsid w:val="00BF710E"/>
    <w:rsid w:val="00C002C0"/>
    <w:rsid w:val="00C16795"/>
    <w:rsid w:val="00C23AC1"/>
    <w:rsid w:val="00C3752E"/>
    <w:rsid w:val="00C82487"/>
    <w:rsid w:val="00C83C6D"/>
    <w:rsid w:val="00CD73C6"/>
    <w:rsid w:val="00CE2836"/>
    <w:rsid w:val="00CE32C4"/>
    <w:rsid w:val="00CE3C39"/>
    <w:rsid w:val="00D0121E"/>
    <w:rsid w:val="00D07876"/>
    <w:rsid w:val="00D23F90"/>
    <w:rsid w:val="00D319EE"/>
    <w:rsid w:val="00D35F2A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5459D"/>
    <w:rsid w:val="00F75A3B"/>
    <w:rsid w:val="00F777FD"/>
    <w:rsid w:val="00F85720"/>
    <w:rsid w:val="00FC5C2D"/>
    <w:rsid w:val="00FC6417"/>
    <w:rsid w:val="00FD0B1A"/>
    <w:rsid w:val="00FD12D2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D853-7E26-4D9E-9870-207F74FD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dcterms:created xsi:type="dcterms:W3CDTF">2015-12-21T10:35:00Z</dcterms:created>
  <dcterms:modified xsi:type="dcterms:W3CDTF">2015-12-21T10:35:00Z</dcterms:modified>
</cp:coreProperties>
</file>