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205F37" w:rsidTr="00457528">
        <w:tc>
          <w:tcPr>
            <w:tcW w:w="2093" w:type="dxa"/>
            <w:vAlign w:val="center"/>
          </w:tcPr>
          <w:p w:rsidR="005B1309" w:rsidRPr="00205F37" w:rsidRDefault="005B1309" w:rsidP="00457528">
            <w:pPr>
              <w:rPr>
                <w:b/>
              </w:rPr>
            </w:pPr>
            <w:r w:rsidRPr="00205F37">
              <w:rPr>
                <w:b/>
              </w:rPr>
              <w:t>Název materiálu:</w:t>
            </w:r>
          </w:p>
        </w:tc>
        <w:tc>
          <w:tcPr>
            <w:tcW w:w="7229" w:type="dxa"/>
            <w:vAlign w:val="center"/>
          </w:tcPr>
          <w:p w:rsidR="005B1309" w:rsidRPr="00205F37" w:rsidRDefault="00F66369" w:rsidP="00C704A3">
            <w:pPr>
              <w:rPr>
                <w:b/>
              </w:rPr>
            </w:pPr>
            <w:r w:rsidRPr="00205F37">
              <w:rPr>
                <w:b/>
              </w:rPr>
              <w:t xml:space="preserve">Návrh </w:t>
            </w:r>
            <w:r w:rsidR="00C704A3" w:rsidRPr="00205F37">
              <w:rPr>
                <w:b/>
              </w:rPr>
              <w:t>Vyhlášky o Pravidlech trhu s elektřinou</w:t>
            </w:r>
            <w:r w:rsidRPr="00205F37">
              <w:rPr>
                <w:b/>
              </w:rPr>
              <w:t xml:space="preserve"> </w:t>
            </w:r>
            <w:r w:rsidR="007211BC" w:rsidRPr="00205F37">
              <w:t xml:space="preserve">(zveřejněno </w:t>
            </w:r>
            <w:proofErr w:type="spellStart"/>
            <w:r w:rsidR="007211BC" w:rsidRPr="00205F37">
              <w:t>HK</w:t>
            </w:r>
            <w:proofErr w:type="spellEnd"/>
            <w:r w:rsidR="007211BC" w:rsidRPr="00205F37">
              <w:t xml:space="preserve"> ČR dne 2</w:t>
            </w:r>
            <w:r w:rsidR="00C704A3" w:rsidRPr="00205F37">
              <w:t>2</w:t>
            </w:r>
            <w:r w:rsidR="007211BC" w:rsidRPr="00205F37">
              <w:t xml:space="preserve">. </w:t>
            </w:r>
            <w:r w:rsidR="00FD7DB9" w:rsidRPr="00205F37">
              <w:t>10</w:t>
            </w:r>
            <w:r w:rsidR="007211BC" w:rsidRPr="00205F37">
              <w:t>. 2015)</w:t>
            </w:r>
          </w:p>
        </w:tc>
      </w:tr>
      <w:tr w:rsidR="005B1309" w:rsidRPr="00205F37" w:rsidTr="00457528">
        <w:tc>
          <w:tcPr>
            <w:tcW w:w="2093" w:type="dxa"/>
            <w:vAlign w:val="center"/>
          </w:tcPr>
          <w:p w:rsidR="005B1309" w:rsidRPr="00205F37" w:rsidRDefault="005B1309" w:rsidP="00457528">
            <w:pPr>
              <w:rPr>
                <w:b/>
              </w:rPr>
            </w:pPr>
            <w:r w:rsidRPr="00205F37">
              <w:rPr>
                <w:b/>
              </w:rPr>
              <w:t>Jméno:</w:t>
            </w:r>
          </w:p>
        </w:tc>
        <w:tc>
          <w:tcPr>
            <w:tcW w:w="7229" w:type="dxa"/>
            <w:vAlign w:val="center"/>
          </w:tcPr>
          <w:p w:rsidR="005B1309" w:rsidRPr="00205F37" w:rsidRDefault="008A71EA" w:rsidP="00457528">
            <w:r w:rsidRPr="00205F37">
              <w:t>Tomáš Pecánek</w:t>
            </w:r>
          </w:p>
        </w:tc>
      </w:tr>
      <w:tr w:rsidR="005B1309" w:rsidRPr="00205F37" w:rsidTr="00457528">
        <w:tc>
          <w:tcPr>
            <w:tcW w:w="2093" w:type="dxa"/>
            <w:vAlign w:val="center"/>
          </w:tcPr>
          <w:p w:rsidR="005B1309" w:rsidRPr="00205F37" w:rsidRDefault="005B1309" w:rsidP="00457528">
            <w:pPr>
              <w:rPr>
                <w:b/>
              </w:rPr>
            </w:pPr>
            <w:r w:rsidRPr="00205F37">
              <w:rPr>
                <w:b/>
              </w:rPr>
              <w:t>Telefon</w:t>
            </w:r>
            <w:r w:rsidRPr="00205F37">
              <w:rPr>
                <w:b/>
              </w:rPr>
              <w:tab/>
              <w:t>:</w:t>
            </w:r>
          </w:p>
        </w:tc>
        <w:tc>
          <w:tcPr>
            <w:tcW w:w="7229" w:type="dxa"/>
            <w:vAlign w:val="center"/>
          </w:tcPr>
          <w:p w:rsidR="005B1309" w:rsidRPr="00205F37" w:rsidRDefault="008A71EA" w:rsidP="00457528">
            <w:r w:rsidRPr="00205F37">
              <w:t>+420 602 560 771</w:t>
            </w:r>
          </w:p>
        </w:tc>
      </w:tr>
      <w:tr w:rsidR="005B1309" w:rsidRPr="00205F37" w:rsidTr="00457528">
        <w:tc>
          <w:tcPr>
            <w:tcW w:w="2093" w:type="dxa"/>
            <w:vAlign w:val="center"/>
          </w:tcPr>
          <w:p w:rsidR="005B1309" w:rsidRPr="00205F37" w:rsidRDefault="005B1309" w:rsidP="00457528">
            <w:pPr>
              <w:rPr>
                <w:b/>
              </w:rPr>
            </w:pPr>
            <w:r w:rsidRPr="00205F37">
              <w:rPr>
                <w:b/>
              </w:rPr>
              <w:t>e-mail:</w:t>
            </w:r>
          </w:p>
        </w:tc>
        <w:tc>
          <w:tcPr>
            <w:tcW w:w="7229" w:type="dxa"/>
            <w:vAlign w:val="center"/>
          </w:tcPr>
          <w:p w:rsidR="005B1309" w:rsidRPr="00205F37" w:rsidRDefault="008A71EA" w:rsidP="00457528">
            <w:proofErr w:type="spellStart"/>
            <w:r w:rsidRPr="00205F37">
              <w:t>tomas.pecanek</w:t>
            </w:r>
            <w:proofErr w:type="spellEnd"/>
            <w:r w:rsidRPr="00205F37">
              <w:t>@</w:t>
            </w:r>
            <w:proofErr w:type="spellStart"/>
            <w:r w:rsidRPr="00205F37">
              <w:t>cgoa.cz</w:t>
            </w:r>
            <w:proofErr w:type="spellEnd"/>
          </w:p>
        </w:tc>
      </w:tr>
    </w:tbl>
    <w:p w:rsidR="00C86E2B" w:rsidRPr="00205F37" w:rsidRDefault="00C86E2B" w:rsidP="00E4793A">
      <w:pPr>
        <w:spacing w:after="0" w:line="240" w:lineRule="auto"/>
        <w:jc w:val="both"/>
        <w:rPr>
          <w:b/>
        </w:rPr>
      </w:pPr>
    </w:p>
    <w:p w:rsidR="00C86E2B" w:rsidRPr="00205F37" w:rsidRDefault="00C86E2B" w:rsidP="00E4793A">
      <w:pPr>
        <w:spacing w:after="0" w:line="240" w:lineRule="auto"/>
        <w:jc w:val="both"/>
        <w:rPr>
          <w:b/>
        </w:rPr>
      </w:pPr>
    </w:p>
    <w:p w:rsidR="00457528" w:rsidRPr="00205F37" w:rsidRDefault="00457528" w:rsidP="00E4793A">
      <w:pPr>
        <w:spacing w:after="0" w:line="240" w:lineRule="auto"/>
        <w:rPr>
          <w:b/>
        </w:rPr>
      </w:pPr>
    </w:p>
    <w:p w:rsidR="00457528" w:rsidRPr="007D013B"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D013B">
        <w:rPr>
          <w:b/>
        </w:rPr>
        <w:t>A.</w:t>
      </w:r>
      <w:r w:rsidRPr="007D013B">
        <w:rPr>
          <w:b/>
        </w:rPr>
        <w:tab/>
        <w:t>SHRNUTÍ HLAVNÍCH DOPADŮ PŘEDLOŽENÉHO MATERIÁLU</w:t>
      </w:r>
      <w:r w:rsidRPr="007D013B">
        <w:t xml:space="preserve"> </w:t>
      </w:r>
    </w:p>
    <w:p w:rsidR="00457528" w:rsidRPr="007D013B" w:rsidRDefault="00457528" w:rsidP="00E4793A">
      <w:pPr>
        <w:pBdr>
          <w:top w:val="single" w:sz="4" w:space="1" w:color="auto"/>
          <w:left w:val="single" w:sz="4" w:space="4" w:color="auto"/>
          <w:bottom w:val="single" w:sz="4" w:space="1" w:color="auto"/>
          <w:right w:val="single" w:sz="4" w:space="4" w:color="auto"/>
        </w:pBdr>
        <w:spacing w:after="0" w:line="240" w:lineRule="auto"/>
        <w:contextualSpacing/>
        <w:jc w:val="both"/>
      </w:pPr>
    </w:p>
    <w:p w:rsidR="00F25259" w:rsidRPr="007D013B" w:rsidRDefault="00F25259" w:rsidP="00E4793A">
      <w:pPr>
        <w:spacing w:after="0" w:line="240" w:lineRule="auto"/>
        <w:contextualSpacing/>
        <w:jc w:val="both"/>
      </w:pPr>
    </w:p>
    <w:p w:rsidR="00C86E2B" w:rsidRPr="007D013B" w:rsidRDefault="00C86E2B" w:rsidP="00E4793A">
      <w:pPr>
        <w:spacing w:after="0" w:line="240" w:lineRule="auto"/>
        <w:contextualSpacing/>
        <w:jc w:val="both"/>
      </w:pPr>
    </w:p>
    <w:p w:rsidR="00205F37" w:rsidRPr="007D013B" w:rsidRDefault="00205F37" w:rsidP="00E4793A">
      <w:pPr>
        <w:spacing w:after="0" w:line="240" w:lineRule="auto"/>
        <w:contextualSpacing/>
        <w:jc w:val="both"/>
      </w:pPr>
    </w:p>
    <w:p w:rsidR="00832A03" w:rsidRPr="007D013B" w:rsidRDefault="00457528" w:rsidP="00F66369">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7D013B">
        <w:rPr>
          <w:b/>
        </w:rPr>
        <w:t>B.</w:t>
      </w:r>
      <w:r w:rsidRPr="007D013B">
        <w:rPr>
          <w:b/>
        </w:rPr>
        <w:tab/>
      </w:r>
      <w:r w:rsidR="0031525C" w:rsidRPr="007D013B">
        <w:rPr>
          <w:b/>
        </w:rPr>
        <w:t xml:space="preserve">ZÁSADNÍ </w:t>
      </w:r>
      <w:r w:rsidRPr="007D013B">
        <w:rPr>
          <w:b/>
        </w:rPr>
        <w:t>OBECN</w:t>
      </w:r>
      <w:r w:rsidR="00FD7DB9" w:rsidRPr="007D013B">
        <w:rPr>
          <w:b/>
        </w:rPr>
        <w:t>É</w:t>
      </w:r>
      <w:r w:rsidRPr="007D013B">
        <w:rPr>
          <w:b/>
        </w:rPr>
        <w:t xml:space="preserve"> PŘIPOMÍNK</w:t>
      </w:r>
      <w:r w:rsidR="00FD7DB9" w:rsidRPr="007D013B">
        <w:rPr>
          <w:b/>
        </w:rPr>
        <w:t>Y</w:t>
      </w:r>
    </w:p>
    <w:p w:rsidR="00C704A3" w:rsidRPr="007D013B" w:rsidRDefault="00C704A3" w:rsidP="00E4793A">
      <w:pPr>
        <w:pBdr>
          <w:top w:val="single" w:sz="4" w:space="1" w:color="auto"/>
          <w:left w:val="single" w:sz="4" w:space="4" w:color="auto"/>
          <w:bottom w:val="single" w:sz="4" w:space="1" w:color="auto"/>
          <w:right w:val="single" w:sz="4" w:space="4" w:color="auto"/>
        </w:pBdr>
        <w:spacing w:after="0" w:line="240" w:lineRule="auto"/>
        <w:contextualSpacing/>
        <w:jc w:val="both"/>
      </w:pPr>
      <w:r w:rsidRPr="007D013B">
        <w:t xml:space="preserve">Předložený materiál jeví znaky </w:t>
      </w:r>
      <w:proofErr w:type="spellStart"/>
      <w:r w:rsidRPr="007D013B">
        <w:t>nedopracovanosti</w:t>
      </w:r>
      <w:proofErr w:type="spellEnd"/>
      <w:r w:rsidRPr="007D013B">
        <w:t xml:space="preserve">, zejména v částech Volba a změna dodavatele, Neoprávněný odběru, Dodávka poslední instance. Mnoho nejasností patrně váže na problematiku uzavírání a ukončování distribučních smluv a rezervaci kapacit (umocněné zmatky s rámcovou smlouvou a absencí její definice v </w:t>
      </w:r>
      <w:proofErr w:type="spellStart"/>
      <w:r w:rsidRPr="007D013B">
        <w:t>EZ</w:t>
      </w:r>
      <w:proofErr w:type="spellEnd"/>
      <w:r w:rsidRPr="007D013B">
        <w:t>).</w:t>
      </w:r>
    </w:p>
    <w:p w:rsidR="00EF4F68" w:rsidRPr="007D013B" w:rsidRDefault="00C704A3" w:rsidP="00E4793A">
      <w:pPr>
        <w:pBdr>
          <w:top w:val="single" w:sz="4" w:space="1" w:color="auto"/>
          <w:left w:val="single" w:sz="4" w:space="4" w:color="auto"/>
          <w:bottom w:val="single" w:sz="4" w:space="1" w:color="auto"/>
          <w:right w:val="single" w:sz="4" w:space="4" w:color="auto"/>
        </w:pBdr>
        <w:spacing w:after="0" w:line="240" w:lineRule="auto"/>
        <w:contextualSpacing/>
        <w:jc w:val="both"/>
      </w:pPr>
      <w:r w:rsidRPr="007D013B">
        <w:t xml:space="preserve">Pokud má smlouva o zajištění služby distribuční soustavy obsahovat náležitosti dle </w:t>
      </w:r>
      <w:proofErr w:type="spellStart"/>
      <w:r w:rsidRPr="007D013B">
        <w:t>EZ</w:t>
      </w:r>
      <w:proofErr w:type="spellEnd"/>
      <w:r w:rsidRPr="007D013B">
        <w:t>, bude problematické jí v navrženém systému uzavřít (nově např. hodnotu rezervovaného příkonu nebo výkonu sjednanou ve smlouvě o připojení).</w:t>
      </w:r>
    </w:p>
    <w:p w:rsidR="00C86E2B" w:rsidRPr="007D013B" w:rsidRDefault="00C86E2B" w:rsidP="00E4793A">
      <w:pPr>
        <w:pStyle w:val="Odstavecseseznamem"/>
        <w:spacing w:after="0" w:line="240" w:lineRule="auto"/>
        <w:ind w:left="0"/>
        <w:contextualSpacing w:val="0"/>
        <w:jc w:val="both"/>
      </w:pPr>
    </w:p>
    <w:p w:rsidR="00C86E2B" w:rsidRPr="007D013B" w:rsidRDefault="00C86E2B" w:rsidP="00E4793A">
      <w:pPr>
        <w:pStyle w:val="Odstavecseseznamem"/>
        <w:spacing w:after="0" w:line="240" w:lineRule="auto"/>
        <w:ind w:left="0"/>
        <w:contextualSpacing w:val="0"/>
        <w:jc w:val="both"/>
      </w:pPr>
    </w:p>
    <w:p w:rsidR="00C86E2B" w:rsidRPr="007D013B" w:rsidRDefault="00C86E2B" w:rsidP="00E4793A">
      <w:pPr>
        <w:pStyle w:val="Odstavecseseznamem"/>
        <w:spacing w:after="0" w:line="240" w:lineRule="auto"/>
        <w:ind w:left="0"/>
        <w:contextualSpacing w:val="0"/>
        <w:jc w:val="both"/>
      </w:pPr>
    </w:p>
    <w:p w:rsidR="004D5CCD" w:rsidRPr="007D013B" w:rsidRDefault="00457528" w:rsidP="008A71EA">
      <w:pPr>
        <w:tabs>
          <w:tab w:val="left" w:pos="567"/>
        </w:tabs>
        <w:spacing w:after="0" w:line="240" w:lineRule="auto"/>
        <w:jc w:val="both"/>
        <w:rPr>
          <w:b/>
        </w:rPr>
      </w:pPr>
      <w:r w:rsidRPr="007D013B">
        <w:rPr>
          <w:b/>
        </w:rPr>
        <w:t>C</w:t>
      </w:r>
      <w:r w:rsidR="008A71EA" w:rsidRPr="007D013B">
        <w:rPr>
          <w:b/>
        </w:rPr>
        <w:t>.</w:t>
      </w:r>
      <w:r w:rsidR="008A71EA" w:rsidRPr="007D013B">
        <w:rPr>
          <w:b/>
        </w:rPr>
        <w:tab/>
      </w:r>
      <w:r w:rsidR="00DC3EB8" w:rsidRPr="007D013B">
        <w:rPr>
          <w:b/>
        </w:rPr>
        <w:t xml:space="preserve">ZÁSADNÍ </w:t>
      </w:r>
      <w:r w:rsidR="004D5CCD" w:rsidRPr="007D013B">
        <w:rPr>
          <w:b/>
        </w:rPr>
        <w:t>KONKRÉTNÍ PŘIPOMÍNK</w:t>
      </w:r>
      <w:r w:rsidR="0032279B" w:rsidRPr="007D013B">
        <w:rPr>
          <w:b/>
        </w:rPr>
        <w:t>Y</w:t>
      </w:r>
    </w:p>
    <w:p w:rsidR="00D37259" w:rsidRPr="007D013B" w:rsidRDefault="00D37259" w:rsidP="00D37259">
      <w:pPr>
        <w:pStyle w:val="Odstavecseseznamem"/>
        <w:spacing w:after="0" w:line="240" w:lineRule="auto"/>
        <w:ind w:left="0"/>
        <w:contextualSpacing w:val="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16 odst. 14</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úpravu znění druhé věty následovně:</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Operátor trhu o této skutečnosti informuje prostřednictvím informačního systému operátora trhu provozovatele přenosové nebo příslušné distribuční soustavy a dotčeného dodavatele elektřiny </w:t>
      </w:r>
      <w:r w:rsidRPr="007D013B">
        <w:rPr>
          <w:strike/>
        </w:rPr>
        <w:t>a subjekt zúčtování</w:t>
      </w:r>
      <w:r w:rsidRPr="007D013B">
        <w:t>.</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Vnáší nejasnost ve smyslu, není-li přiřazen subjekt zúčtování, nemá koho </w:t>
      </w:r>
      <w:proofErr w:type="spellStart"/>
      <w:r w:rsidRPr="007D013B">
        <w:t>OTE</w:t>
      </w:r>
      <w:proofErr w:type="spellEnd"/>
      <w:r w:rsidRPr="007D013B">
        <w:t xml:space="preserve"> informovat. Pokud by byl dovětek ponechán, je nutno upřesnit o jaký subjekt zúčtování se jedná.</w:t>
      </w:r>
    </w:p>
    <w:p w:rsidR="00205F37" w:rsidRPr="007D013B" w:rsidRDefault="00205F37" w:rsidP="00D37259">
      <w:pPr>
        <w:pStyle w:val="Odstavecseseznamem"/>
        <w:spacing w:after="0" w:line="240" w:lineRule="auto"/>
        <w:ind w:left="0"/>
        <w:contextualSpacing w:val="0"/>
        <w:jc w:val="both"/>
      </w:pPr>
    </w:p>
    <w:p w:rsidR="00544318" w:rsidRPr="007D013B" w:rsidRDefault="00544318" w:rsidP="00E4793A">
      <w:pPr>
        <w:keepNext/>
        <w:pBdr>
          <w:top w:val="single" w:sz="4" w:space="1" w:color="auto"/>
          <w:left w:val="single" w:sz="4" w:space="4" w:color="auto"/>
          <w:bottom w:val="single" w:sz="4" w:space="1" w:color="auto"/>
          <w:right w:val="single" w:sz="4" w:space="4" w:color="auto"/>
        </w:pBdr>
        <w:spacing w:after="0" w:line="240" w:lineRule="auto"/>
        <w:jc w:val="both"/>
        <w:rPr>
          <w:b/>
        </w:rPr>
      </w:pPr>
      <w:r w:rsidRPr="007D013B">
        <w:rPr>
          <w:b/>
        </w:rPr>
        <w:t>K § 31 a 32</w:t>
      </w:r>
    </w:p>
    <w:p w:rsidR="00FD7DB9" w:rsidRPr="007D013B" w:rsidRDefault="00FD7DB9" w:rsidP="0054431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u w:val="single"/>
        </w:rPr>
      </w:pPr>
    </w:p>
    <w:p w:rsidR="001B266B" w:rsidRPr="007D013B" w:rsidRDefault="00B74683" w:rsidP="00E4793A">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D37259" w:rsidRPr="007D013B" w:rsidRDefault="00D37259" w:rsidP="0054431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vypustit §§ 31 a 32 bez náhrady.</w:t>
      </w:r>
    </w:p>
    <w:p w:rsidR="00D37259" w:rsidRPr="007D013B" w:rsidRDefault="00D37259" w:rsidP="0054431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D37259" w:rsidRPr="007D013B" w:rsidRDefault="00D37259" w:rsidP="0054431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Ustanovení stanovující postup pro ukončení dodávek jde nad rámec zmocnění v § </w:t>
      </w:r>
      <w:proofErr w:type="spellStart"/>
      <w:r w:rsidRPr="007D013B">
        <w:t>98a</w:t>
      </w:r>
      <w:proofErr w:type="spellEnd"/>
      <w:r w:rsidRPr="007D013B">
        <w:t xml:space="preserve"> odst. 2 písm. a), obdobně i §30 odst. 2 písm. m) Energetického zákona vůbec nepředpokládá jakoukoli další úpravu této povinnosti sekundární legislativou. Zároveň tak dojde ke sjednocení s Pravidly trhu s Plynem, u kterých byl v konzultačním procesu vyjmut § 71.</w:t>
      </w:r>
    </w:p>
    <w:p w:rsidR="00205F37" w:rsidRPr="007D013B" w:rsidRDefault="00205F37" w:rsidP="00D37259">
      <w:pPr>
        <w:pStyle w:val="Odstavecseseznamem"/>
        <w:spacing w:after="0" w:line="240" w:lineRule="auto"/>
        <w:ind w:left="0"/>
        <w:contextualSpacing w:val="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33 odst. 3 písm. g)</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znění daného ustanovení následovně:</w:t>
      </w:r>
    </w:p>
    <w:p w:rsidR="00D37259" w:rsidRPr="007D013B" w:rsidRDefault="00D37259"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lastRenderedPageBreak/>
        <w:t xml:space="preserve">g) informaci, zda byla smlouva o dodávce elektřiny nebo o sdružených službách dodávky elektřiny uzavřena spotřebitelem </w:t>
      </w:r>
      <w:r w:rsidRPr="007D013B">
        <w:rPr>
          <w:strike/>
        </w:rPr>
        <w:t>nebo podnikající fyzickou osobou nebo právnickou osobou</w:t>
      </w:r>
      <w:r w:rsidRPr="007D013B">
        <w:t xml:space="preserve"> v obchodních prostorech držitele licence, distančním způsobem, nebo mimo obchodní prostory držitele licence.</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Byla-li smlouva o dodávce elektřiny nebo o sdružených službách dodávky elektřiny uzavřena distančním způsobem nebo mimo obchodní prostory držitele licence, nevzniká na základě takové právní skutečnosti podnikající fyzické osobě ani právnické osobě ze zákona žádné právo či povinnost. Jedná se tedy o zbytečnou administrativní zátěž pro dodavatele, a to zejména s ohledem na povinnost dodavatele uvádět pravdivé informace dle § 30 odst. 2 písm. n) </w:t>
      </w:r>
      <w:proofErr w:type="spellStart"/>
      <w:r w:rsidRPr="007D013B">
        <w:t>EZ</w:t>
      </w:r>
      <w:proofErr w:type="spellEnd"/>
      <w:r w:rsidRPr="007D013B">
        <w:t>.</w:t>
      </w:r>
    </w:p>
    <w:p w:rsidR="00205F37" w:rsidRPr="007D013B" w:rsidRDefault="00205F37" w:rsidP="00E4793A">
      <w:pPr>
        <w:pStyle w:val="Odstavecseseznamem"/>
        <w:spacing w:after="0" w:line="240" w:lineRule="auto"/>
        <w:ind w:left="0"/>
        <w:contextualSpacing w:val="0"/>
        <w:jc w:val="both"/>
      </w:pPr>
    </w:p>
    <w:p w:rsidR="005C2787" w:rsidRPr="007D013B" w:rsidRDefault="005C2787" w:rsidP="005C278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34 - Žádost o uzavření smlouvy o zajištění služby přenosové nebo distribuční soustavy – obecně + odst. 7</w:t>
      </w:r>
    </w:p>
    <w:p w:rsidR="005C2787" w:rsidRPr="007D013B" w:rsidRDefault="005C2787" w:rsidP="005C278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5C2787" w:rsidRPr="007D013B" w:rsidRDefault="005C2787" w:rsidP="005C278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5C2787" w:rsidRPr="007D013B" w:rsidRDefault="005C2787" w:rsidP="005C278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zachovat stávající koncept, kdy při přepisu stačí podat žádost o připojení u provozovatele distribuční soustavy, neexistuje naprosto žádný důvod proč opustit stávající mnoho let fungující stav v obou komoditách. Důvody uváděné na jednáních byly zcela vyvráceny. Jedná se o zachování znění návrhu a jeho neupravení v souvislosti s nepřijatelným návrhem na úpravu vyhlášky o připojení.</w:t>
      </w:r>
    </w:p>
    <w:p w:rsidR="005C2787" w:rsidRPr="007D013B" w:rsidRDefault="005C2787" w:rsidP="005C278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Dále navrhujeme vypustit v § 34 odst. 7, jelikož nijak nesouvisí se zmocněním procesu změny dodavatele.</w:t>
      </w:r>
    </w:p>
    <w:p w:rsidR="005C2787" w:rsidRPr="007D013B" w:rsidRDefault="005C2787" w:rsidP="005C278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5C2787" w:rsidRPr="007D013B" w:rsidRDefault="005C2787" w:rsidP="005C278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5C2787" w:rsidRPr="007D013B" w:rsidRDefault="005C2787" w:rsidP="005C278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Neexistuje žádný zákonný důvod měnit stávající fungující stav v obou komoditách (viz. </w:t>
      </w:r>
      <w:proofErr w:type="gramStart"/>
      <w:r w:rsidRPr="007D013B">
        <w:t>obecná</w:t>
      </w:r>
      <w:proofErr w:type="gramEnd"/>
      <w:r w:rsidRPr="007D013B">
        <w:t xml:space="preserve"> připomínka). Změna je naprosto nepřijatelná pro zákazníky a vyvolá vlnu stížností od zákazníků na Energetický regulační úřad.</w:t>
      </w:r>
    </w:p>
    <w:p w:rsidR="00205F37" w:rsidRPr="007D013B" w:rsidRDefault="00205F37" w:rsidP="00E4793A">
      <w:pPr>
        <w:pStyle w:val="Odstavecseseznamem"/>
        <w:spacing w:after="0" w:line="240" w:lineRule="auto"/>
        <w:ind w:left="0"/>
        <w:contextualSpacing w:val="0"/>
        <w:jc w:val="both"/>
      </w:pPr>
    </w:p>
    <w:p w:rsidR="00544318" w:rsidRPr="007D013B" w:rsidRDefault="00E4793A" w:rsidP="00E4793A">
      <w:pPr>
        <w:keepNext/>
        <w:pBdr>
          <w:top w:val="single" w:sz="4" w:space="1" w:color="auto"/>
          <w:left w:val="single" w:sz="4" w:space="4" w:color="auto"/>
          <w:bottom w:val="single" w:sz="4" w:space="1" w:color="auto"/>
          <w:right w:val="single" w:sz="4" w:space="4" w:color="auto"/>
        </w:pBdr>
        <w:spacing w:after="0" w:line="240" w:lineRule="auto"/>
        <w:jc w:val="both"/>
        <w:rPr>
          <w:b/>
        </w:rPr>
      </w:pPr>
      <w:r w:rsidRPr="007D013B">
        <w:rPr>
          <w:b/>
        </w:rPr>
        <w:t>K § 34 odst. 1 a § 41 odst. 1</w:t>
      </w:r>
    </w:p>
    <w:p w:rsidR="00FD7DB9" w:rsidRPr="007D013B" w:rsidRDefault="00FD7DB9"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u w:val="single"/>
        </w:rPr>
      </w:pPr>
    </w:p>
    <w:p w:rsidR="00850B7A" w:rsidRPr="007D013B" w:rsidRDefault="00850B7A" w:rsidP="00E4793A">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E4793A" w:rsidRPr="007D013B" w:rsidRDefault="00E4793A"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sladění ustanovení, která stanoví termíny pro podání žádosti o uzavření smlouvy o zajištění služby distribuční soustavy, tj. druhou větu v § 41 v odst. 1 přeformulovat a v úvodu věty doplnit slova „V případě nově zřízeného odběrného místa nebo v případě změny rezervovaného příkonu v daném odběrném místě“.</w:t>
      </w:r>
    </w:p>
    <w:p w:rsidR="00E4793A" w:rsidRPr="007D013B" w:rsidRDefault="00E4793A"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4793A" w:rsidRPr="007D013B" w:rsidRDefault="00E4793A" w:rsidP="00E4793A">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Úplné znění:</w:t>
      </w:r>
    </w:p>
    <w:p w:rsidR="00E4793A" w:rsidRPr="007D013B" w:rsidRDefault="00E4793A"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 xml:space="preserve">(1) Smlouva o zajištění služby přenosové soustavy nebo smlouva o zajištění služby distribuční soustavy se uzavírá na základě písemné žádosti. </w:t>
      </w:r>
      <w:r w:rsidRPr="007D013B">
        <w:rPr>
          <w:b/>
        </w:rPr>
        <w:t>V případě nově zřízeného odběrného místa nebo v případě změny rezervovaného příkonu v daném odběrném místě</w:t>
      </w:r>
      <w:r w:rsidRPr="007D013B">
        <w:t xml:space="preserve"> </w:t>
      </w:r>
      <w:proofErr w:type="spellStart"/>
      <w:r w:rsidRPr="007D013B">
        <w:rPr>
          <w:strike/>
        </w:rPr>
        <w:t>Ž</w:t>
      </w:r>
      <w:r w:rsidRPr="007D013B">
        <w:rPr>
          <w:b/>
        </w:rPr>
        <w:t>ž</w:t>
      </w:r>
      <w:r w:rsidRPr="007D013B">
        <w:t>ádost</w:t>
      </w:r>
      <w:proofErr w:type="spellEnd"/>
      <w:r w:rsidRPr="007D013B">
        <w:t xml:space="preserve"> předkládá žadatel provozovateli přenosové soustavy nebo provozovateli distribuční soustavy nejméně 30 kalendářních dní před požadovaným termínem zahájení služby přenosové soustavy nebo služby distribuční soustavy, a to pro každé předávací nebo odběrné místo zvlášť. Náležitosti žádosti o poskytnutí služby přenosové soustavy nebo služby distribuční soustavy jsou uvedeny v přílohách č. 1 a 3 k této vyhlášce.</w:t>
      </w:r>
    </w:p>
    <w:p w:rsidR="00E4793A" w:rsidRPr="007D013B" w:rsidRDefault="00E4793A"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850B7A" w:rsidRPr="007D013B" w:rsidRDefault="00850B7A" w:rsidP="00E4793A">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E4793A" w:rsidRPr="007D013B" w:rsidRDefault="00E4793A"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Z § 34 odst. 1 a § 41 odst. 1 návrhu není zřejmé, jak mají účastníci trhu postupovat, resp. který termín je rozhodný pro podání žádosti o uzavření smlouvy o zajištění služby distribuční soustavy. Navrhujeme proto v § 41 odst. 1 upřesnit, kdy se postupuje v termínu podle tohoto ustanovení, a to v souladu se stávající úpravou obsaženou v Pravidlech trhu s elektřinou.</w:t>
      </w:r>
    </w:p>
    <w:p w:rsidR="00205F37" w:rsidRPr="007D013B" w:rsidRDefault="00205F37" w:rsidP="00E4793A">
      <w:pPr>
        <w:pStyle w:val="Odstavecseseznamem"/>
        <w:spacing w:after="0" w:line="240" w:lineRule="auto"/>
        <w:ind w:left="0"/>
        <w:contextualSpacing w:val="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lastRenderedPageBreak/>
        <w:t>K § 34 odst. 7</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doplnit znění daného ustanovení následovně:</w:t>
      </w:r>
    </w:p>
    <w:p w:rsidR="00D37259" w:rsidRPr="007D013B" w:rsidRDefault="009B0DDF"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 xml:space="preserve">(7) Pokud dojde ke změně smlouvy o připojení v části týkající se hodnoty hlavního jistícího prvku před elektroměrem </w:t>
      </w:r>
      <w:r w:rsidRPr="007D013B">
        <w:rPr>
          <w:b/>
        </w:rPr>
        <w:t>nebo hodnoty rezervovaného příkonu, dotčený provozovatel přenosové soustavy nebo</w:t>
      </w:r>
      <w:r w:rsidRPr="007D013B">
        <w:t xml:space="preserve"> provozovatel distribuční soustavy neprodleně informuje o této skutečnosti dodavatele elektřiny.</w:t>
      </w:r>
    </w:p>
    <w:p w:rsidR="00D37259" w:rsidRPr="007D013B" w:rsidRDefault="00D37259"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37259" w:rsidRPr="007D013B" w:rsidRDefault="00D37259" w:rsidP="00D3725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9B0DDF" w:rsidRPr="007D013B" w:rsidRDefault="009B0DDF" w:rsidP="00D3725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Cílem je předejít případům, kdy ze strany provozovatele přenosové soustavy nebo distribuční soustavy dojde k odmítnutí žádosti. Dle § 34 odst. 4) písm. e) návrhu Vyhlášky je pro odmítnutí žádosti rozhodující požadovaná rezervovaná kapacita ve vztahu k výši rezervovaného příkonu, nikoliv ve vztahu k hodnotě hlavního jistícího prvku před elektroměrem. Okruh osob povinných informovat o této změně pak požadujeme rozšířit o provozovatele přenosové soustavy.</w:t>
      </w:r>
    </w:p>
    <w:p w:rsidR="00205F37" w:rsidRPr="007D013B" w:rsidRDefault="00205F37" w:rsidP="00E4793A">
      <w:pPr>
        <w:pStyle w:val="Odstavecseseznamem"/>
        <w:spacing w:after="0" w:line="240" w:lineRule="auto"/>
        <w:ind w:left="0"/>
        <w:contextualSpacing w:val="0"/>
        <w:jc w:val="both"/>
      </w:pPr>
    </w:p>
    <w:p w:rsidR="00E4793A" w:rsidRPr="007D013B" w:rsidRDefault="00E4793A" w:rsidP="00E4793A">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35</w:t>
      </w:r>
    </w:p>
    <w:p w:rsidR="007F341C" w:rsidRPr="007D013B" w:rsidRDefault="007F341C"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FF2990" w:rsidRPr="007D013B" w:rsidRDefault="00FF2990" w:rsidP="00E4793A">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E4793A" w:rsidRPr="007D013B" w:rsidRDefault="00E4793A"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v § 35 změnit nadpis na „Žádost o ukončení, pozastavení nebo zastavení procesu změny dodavatele elektřiny“ a doplnit nový odstavec 3 následujícího znění:</w:t>
      </w:r>
    </w:p>
    <w:p w:rsidR="00E4793A" w:rsidRPr="007D013B" w:rsidRDefault="00E4793A"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 xml:space="preserve">„(3) V případě, že v žádosti o změnu dodavatele elektřiny byla uvedena informace o jejím uzavření mimo prostory obvyklé k podnikání nebo distančním způsobem, a zákazník odstoupil od smlouvy podle § </w:t>
      </w:r>
      <w:proofErr w:type="spellStart"/>
      <w:r w:rsidRPr="007D013B">
        <w:t>11a</w:t>
      </w:r>
      <w:proofErr w:type="spellEnd"/>
      <w:r w:rsidRPr="007D013B">
        <w:t xml:space="preserve"> odst. 2 energetického zákona a současně požaduje pokračování dodávek od stávajícího dodavatele, může stávající dodavatel zastavit změnu dodavatele elektřiny v termínu podle odstavce 1.“</w:t>
      </w:r>
    </w:p>
    <w:p w:rsidR="000D4DF8" w:rsidRPr="007D013B" w:rsidRDefault="000D4DF8"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65764" w:rsidRPr="007D013B" w:rsidRDefault="00165764" w:rsidP="00E4793A">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7F341C" w:rsidRPr="007D013B" w:rsidRDefault="00E4793A" w:rsidP="00E4793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Navrhujeme sjednocení pravidel s elektřinou s pravidly trhu s plynem v případech pokračování dodávek elektřiny od stávajícího dodavatele z důvodu odstoupení zákazníka od smlouvy dle § </w:t>
      </w:r>
      <w:proofErr w:type="spellStart"/>
      <w:r w:rsidRPr="007D013B">
        <w:t>11a</w:t>
      </w:r>
      <w:proofErr w:type="spellEnd"/>
      <w:r w:rsidRPr="007D013B">
        <w:t xml:space="preserve"> odst. 2 </w:t>
      </w:r>
      <w:proofErr w:type="spellStart"/>
      <w:r w:rsidRPr="007D013B">
        <w:t>EZ</w:t>
      </w:r>
      <w:proofErr w:type="spellEnd"/>
      <w:r w:rsidRPr="007D013B">
        <w:t>, neboť nevidíme důvod odlišného přístupu u obou komodit.</w:t>
      </w:r>
    </w:p>
    <w:p w:rsidR="00205F37" w:rsidRPr="007D013B" w:rsidRDefault="00205F37" w:rsidP="00E4793A">
      <w:pPr>
        <w:pStyle w:val="Odstavecseseznamem"/>
        <w:spacing w:after="0" w:line="240" w:lineRule="auto"/>
        <w:ind w:left="0"/>
        <w:contextualSpacing w:val="0"/>
        <w:jc w:val="both"/>
      </w:pPr>
    </w:p>
    <w:p w:rsidR="000E54A2" w:rsidRPr="007D013B" w:rsidRDefault="000E54A2" w:rsidP="000E54A2">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38 odst. 4</w:t>
      </w:r>
    </w:p>
    <w:p w:rsidR="000E54A2" w:rsidRPr="007D013B" w:rsidRDefault="000E54A2" w:rsidP="000E54A2">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0E54A2" w:rsidRPr="007D013B" w:rsidRDefault="000E54A2" w:rsidP="000E54A2">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0E54A2" w:rsidRPr="007D013B" w:rsidRDefault="000E54A2" w:rsidP="000E54A2">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znění daného ustanovení následovně:</w:t>
      </w:r>
    </w:p>
    <w:p w:rsidR="000E54A2" w:rsidRPr="007D013B" w:rsidRDefault="000E54A2"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(4) O podání žádosti o prodloužení dodávky podle odstavce 3 informuje neprodleně operátor trhu příslušného provozovatele distribuční soustavy</w:t>
      </w:r>
      <w:r w:rsidRPr="007D013B">
        <w:rPr>
          <w:b/>
        </w:rPr>
        <w:t>, nového dodavatele elektřiny</w:t>
      </w:r>
      <w:r w:rsidRPr="007D013B">
        <w:t xml:space="preserve"> a dotčené subjekty zúčtování. Pokud subjekt zúčtování a provozovatel distribuční soustavy žádost o prodloužení odsouhlasí nejpozději do 23:00 hodin kalendářního dne předcházejícího dni, ve kterém měla nabýt účinnosti změna dodavatele elektřiny v systému operátora trhu, dojde k prodloužení dodávky a operátor trhu neprodleně o této skutečnosti informuje dodavatele elektřiny, příslušný subjekt zúčtování a dotčeného provozovatele distribuční soustavy.</w:t>
      </w:r>
    </w:p>
    <w:p w:rsidR="000E54A2" w:rsidRPr="007D013B" w:rsidRDefault="000E54A2" w:rsidP="000E54A2">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0E54A2" w:rsidRPr="007D013B" w:rsidRDefault="000E54A2" w:rsidP="000E54A2">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0E54A2" w:rsidRPr="007D013B" w:rsidRDefault="000E54A2" w:rsidP="000E54A2">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tak, aby z ustanovení jednoznačně vyplývalo, že operátor trhu plní tuto informační povinnost i vůči novému dodavateli elektřiny.</w:t>
      </w:r>
    </w:p>
    <w:p w:rsidR="00205F37" w:rsidRPr="007D013B" w:rsidRDefault="00205F37" w:rsidP="00273F1D">
      <w:pPr>
        <w:pStyle w:val="Odstavecseseznamem"/>
        <w:spacing w:after="0" w:line="240" w:lineRule="auto"/>
        <w:ind w:left="0"/>
        <w:contextualSpacing w:val="0"/>
        <w:jc w:val="both"/>
      </w:pPr>
    </w:p>
    <w:p w:rsidR="00273F1D" w:rsidRPr="007D013B" w:rsidRDefault="00273F1D" w:rsidP="00273F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41 odst. 1</w:t>
      </w:r>
    </w:p>
    <w:p w:rsidR="00273F1D" w:rsidRPr="007D013B" w:rsidRDefault="00273F1D" w:rsidP="00273F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273F1D" w:rsidRPr="007D013B" w:rsidRDefault="00273F1D" w:rsidP="00273F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273F1D" w:rsidRPr="007D013B" w:rsidRDefault="00273F1D" w:rsidP="00273F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znění daného ustanovení následovně:</w:t>
      </w:r>
    </w:p>
    <w:p w:rsidR="00273F1D" w:rsidRPr="007D013B" w:rsidRDefault="00273F1D"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 xml:space="preserve">(1) Smlouva o zajištění služby přenosové soustavy nebo smlouva o zajištění služby distribuční soustavy se uzavírá na základě písemné žádosti. Žádost předkládá žadatel provozovateli </w:t>
      </w:r>
      <w:r w:rsidRPr="007D013B">
        <w:lastRenderedPageBreak/>
        <w:t xml:space="preserve">přenosové soustavy nebo provozovateli distribuční soustavy nejméně </w:t>
      </w:r>
      <w:r w:rsidRPr="007D013B">
        <w:rPr>
          <w:b/>
        </w:rPr>
        <w:t xml:space="preserve">10 </w:t>
      </w:r>
      <w:proofErr w:type="spellStart"/>
      <w:r w:rsidRPr="007D013B">
        <w:rPr>
          <w:b/>
        </w:rPr>
        <w:t>pracovních</w:t>
      </w:r>
      <w:r w:rsidRPr="007D013B">
        <w:rPr>
          <w:strike/>
        </w:rPr>
        <w:t>30</w:t>
      </w:r>
      <w:proofErr w:type="spellEnd"/>
      <w:r w:rsidRPr="007D013B">
        <w:rPr>
          <w:strike/>
        </w:rPr>
        <w:t xml:space="preserve"> kalendářních</w:t>
      </w:r>
      <w:r w:rsidRPr="007D013B">
        <w:t xml:space="preserve"> dní před požadovaným termínem zahájení služby přenosové soustavy nebo služby distribuční soustavy, a to pro každé předávací nebo odběrné místo zvlášť. Náležitosti žádosti o poskytnutí služby přenosové soustavy nebo služby distribuční soustavy jsou uvedeny v přílohách č. 1 a 3 k této vyhlášce.</w:t>
      </w:r>
    </w:p>
    <w:p w:rsidR="00273F1D" w:rsidRPr="007D013B" w:rsidRDefault="00273F1D" w:rsidP="00273F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273F1D" w:rsidRPr="007D013B" w:rsidRDefault="00273F1D" w:rsidP="00273F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273F1D" w:rsidRPr="007D013B" w:rsidRDefault="00273F1D" w:rsidP="00273F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V návrhu Vyhlášky jsou stanoveny dvě odlišné lhůty pro podání žádosti o uzavření smlouvy o zajištění služby přenosové soustavy nebo smlouvy o zajištění služby distribuční soustavy. Dle tohoto ustanovení je stanovena povinnost podat žádost o uzavření smlouvy o zajištění služby distribuční soustavy nejpozději 30 dní před termínem zahájení služby přenosové soustavy nebo služby distribuční soustavy. Dle § 34 odst. 1 návrhu Vyhlášky však je s ohledem na obsah § 33 odst. 1) návrhu Vyhlášky pro shodný případ, tj. podání žádosti o uzavření smlouvy o zajištění služby distribuční soustavy, stanovena lhůta zcela odlišná.</w:t>
      </w:r>
    </w:p>
    <w:p w:rsidR="00205F37" w:rsidRPr="007D013B" w:rsidRDefault="00205F37" w:rsidP="00120E1D">
      <w:pPr>
        <w:pStyle w:val="Odstavecseseznamem"/>
        <w:spacing w:after="0" w:line="240" w:lineRule="auto"/>
        <w:ind w:left="0"/>
        <w:contextualSpacing w:val="0"/>
        <w:jc w:val="both"/>
      </w:pPr>
    </w:p>
    <w:p w:rsidR="00120E1D" w:rsidRPr="007D013B" w:rsidRDefault="00120E1D" w:rsidP="00120E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41 odst. 4</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20E1D" w:rsidRPr="007D013B" w:rsidRDefault="00120E1D" w:rsidP="00120E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znění daného ustanovení následovně:</w:t>
      </w:r>
    </w:p>
    <w:p w:rsidR="00120E1D" w:rsidRPr="007D013B" w:rsidRDefault="00120E1D"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 xml:space="preserve">(4) Dodavatel předává provozovateli distribuční soustavy návrhy na změnu rámcové smlouvy podle ustanovení upravujících </w:t>
      </w:r>
      <w:r w:rsidRPr="007D013B">
        <w:rPr>
          <w:strike/>
        </w:rPr>
        <w:t>postup při změně dodavatele elektřiny při přenesení odpovědnosti za odchylku, nejpozději však k poslednímu dni kalendářního měsíce předcházejícího kalendářnímu měsíci, ve kterém má změna rámcové smlouvy nabýt účinnosti</w:t>
      </w:r>
      <w:r w:rsidRPr="007D013B">
        <w:t xml:space="preserve"> </w:t>
      </w:r>
      <w:r w:rsidRPr="007D013B">
        <w:rPr>
          <w:b/>
        </w:rPr>
        <w:t>uzavření smlouvy o zajištění služby přenosové nebo distribuční soustavy</w:t>
      </w:r>
      <w:r w:rsidRPr="007D013B">
        <w:t>. Provozovatel distribuční soustavy předává dodavateli do 5 pracovních dnů každého kalendářního měsíce seznam odběrných nebo předávacích míst zahrnutých do rámcové smlouvy k prvnímu dni tohoto kalendářního měsíce, a to v rozsahu a struktuře podle přílohy č. 17.</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20E1D" w:rsidRPr="007D013B" w:rsidRDefault="00120E1D" w:rsidP="00120E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Obdobná problematika jako v případě dle bodu 6. tohoto dokumentu. V návrhu Vyhlášky stanoveny dvě odlišné lhůty pro podání žádosti/návrh o změnu smlouvy o zajištění služby přenosové soustavy nebo smlouvy o zajištění služby distribuční soustavy.</w:t>
      </w:r>
    </w:p>
    <w:p w:rsidR="00205F37" w:rsidRPr="007D013B" w:rsidRDefault="00205F37" w:rsidP="00120E1D">
      <w:pPr>
        <w:pStyle w:val="Odstavecseseznamem"/>
        <w:spacing w:after="0" w:line="240" w:lineRule="auto"/>
        <w:ind w:left="0"/>
        <w:contextualSpacing w:val="0"/>
        <w:jc w:val="both"/>
      </w:pPr>
    </w:p>
    <w:p w:rsidR="00120E1D" w:rsidRPr="007D013B" w:rsidRDefault="00120E1D" w:rsidP="00120E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 xml:space="preserve">K </w:t>
      </w:r>
      <w:proofErr w:type="gramStart"/>
      <w:r w:rsidRPr="007D013B">
        <w:rPr>
          <w:b/>
        </w:rPr>
        <w:t>nadpis</w:t>
      </w:r>
      <w:proofErr w:type="gramEnd"/>
      <w:r w:rsidRPr="007D013B">
        <w:rPr>
          <w:b/>
        </w:rPr>
        <w:t xml:space="preserve"> u § 42</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20E1D" w:rsidRPr="007D013B" w:rsidRDefault="00120E1D" w:rsidP="00120E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nadpis § 42 následovně:</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Žádost o </w:t>
      </w:r>
      <w:r w:rsidRPr="007D013B">
        <w:rPr>
          <w:b/>
        </w:rPr>
        <w:t xml:space="preserve">zajištění služeb přenosové nebo distribuční </w:t>
      </w:r>
      <w:proofErr w:type="spellStart"/>
      <w:r w:rsidRPr="007D013B">
        <w:rPr>
          <w:b/>
        </w:rPr>
        <w:t>soustavy</w:t>
      </w:r>
      <w:r w:rsidRPr="007D013B">
        <w:rPr>
          <w:strike/>
        </w:rPr>
        <w:t>poskytnutí</w:t>
      </w:r>
      <w:proofErr w:type="spellEnd"/>
      <w:r w:rsidRPr="007D013B">
        <w:rPr>
          <w:strike/>
        </w:rPr>
        <w:t xml:space="preserve"> přenosu nebo distribuce elektřiny </w:t>
      </w:r>
      <w:r w:rsidRPr="007D013B">
        <w:t>u nově vzniklého odběrného místa</w:t>
      </w: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20E1D" w:rsidRPr="007D013B" w:rsidRDefault="00120E1D"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20E1D" w:rsidRPr="007D013B" w:rsidRDefault="00120E1D" w:rsidP="00120E1D">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626610" w:rsidRPr="007D013B" w:rsidRDefault="00626610" w:rsidP="00120E1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 xml:space="preserve">Legislativně technická připomínka. Úprava s ohledem na novou terminologii zavedenou novelou </w:t>
      </w:r>
      <w:proofErr w:type="spellStart"/>
      <w:r w:rsidRPr="007D013B">
        <w:t>EZ</w:t>
      </w:r>
      <w:proofErr w:type="spellEnd"/>
      <w:r w:rsidRPr="007D013B">
        <w:t>.</w:t>
      </w:r>
    </w:p>
    <w:p w:rsidR="00205F37" w:rsidRPr="007D013B" w:rsidRDefault="00205F37" w:rsidP="00626610">
      <w:pPr>
        <w:pStyle w:val="Odstavecseseznamem"/>
        <w:spacing w:after="0" w:line="240" w:lineRule="auto"/>
        <w:ind w:left="0"/>
        <w:contextualSpacing w:val="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42 odst. 3 písm. f)</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znění daného ustanovení následovně:</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 xml:space="preserve">f) </w:t>
      </w:r>
      <w:r w:rsidRPr="007D013B">
        <w:rPr>
          <w:strike/>
        </w:rPr>
        <w:t>výčet</w:t>
      </w:r>
      <w:r w:rsidRPr="007D013B">
        <w:t xml:space="preserve"> identifikační</w:t>
      </w:r>
      <w:r w:rsidRPr="007D013B">
        <w:rPr>
          <w:strike/>
        </w:rPr>
        <w:t>ch</w:t>
      </w:r>
      <w:r w:rsidRPr="007D013B">
        <w:t xml:space="preserve"> číselný</w:t>
      </w:r>
      <w:r w:rsidRPr="007D013B">
        <w:rPr>
          <w:strike/>
        </w:rPr>
        <w:t>ch</w:t>
      </w:r>
      <w:r w:rsidRPr="007D013B">
        <w:t xml:space="preserve"> kód</w:t>
      </w:r>
      <w:r w:rsidRPr="007D013B">
        <w:rPr>
          <w:strike/>
        </w:rPr>
        <w:t>ů</w:t>
      </w:r>
      <w:r w:rsidRPr="007D013B">
        <w:t xml:space="preserve"> </w:t>
      </w:r>
      <w:proofErr w:type="spellStart"/>
      <w:r w:rsidRPr="007D013B">
        <w:t>odběrn</w:t>
      </w:r>
      <w:r w:rsidRPr="007D013B">
        <w:rPr>
          <w:strike/>
        </w:rPr>
        <w:t>ých</w:t>
      </w:r>
      <w:r w:rsidRPr="007D013B">
        <w:rPr>
          <w:b/>
        </w:rPr>
        <w:t>ého</w:t>
      </w:r>
      <w:proofErr w:type="spellEnd"/>
      <w:r w:rsidRPr="007D013B">
        <w:t xml:space="preserve"> nebo </w:t>
      </w:r>
      <w:proofErr w:type="spellStart"/>
      <w:r w:rsidRPr="007D013B">
        <w:t>předávací</w:t>
      </w:r>
      <w:r w:rsidRPr="007D013B">
        <w:rPr>
          <w:strike/>
        </w:rPr>
        <w:t>c</w:t>
      </w:r>
      <w:r w:rsidRPr="007D013B">
        <w:t>h</w:t>
      </w:r>
      <w:r w:rsidRPr="007D013B">
        <w:rPr>
          <w:b/>
        </w:rPr>
        <w:t>o</w:t>
      </w:r>
      <w:proofErr w:type="spellEnd"/>
      <w:r w:rsidRPr="007D013B">
        <w:t xml:space="preserve"> míst</w:t>
      </w:r>
      <w:r w:rsidRPr="007D013B">
        <w:rPr>
          <w:b/>
        </w:rPr>
        <w:t>a</w:t>
      </w:r>
      <w:r w:rsidRPr="007D013B">
        <w:t>.</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Dle obsahu ustanovení odst. 3 se žádost vztahuje vždy k jednomu odběrnému místu.</w:t>
      </w:r>
    </w:p>
    <w:p w:rsidR="00205F37" w:rsidRPr="007D013B" w:rsidRDefault="00205F37" w:rsidP="00022717">
      <w:pPr>
        <w:pStyle w:val="Odstavecseseznamem"/>
        <w:spacing w:after="0" w:line="240" w:lineRule="auto"/>
        <w:ind w:left="0"/>
        <w:contextualSpacing w:val="0"/>
        <w:jc w:val="both"/>
      </w:pPr>
    </w:p>
    <w:p w:rsidR="00022717" w:rsidRPr="007D013B" w:rsidRDefault="00022717" w:rsidP="0002271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lastRenderedPageBreak/>
        <w:t>K § 52 - Registrace změny dodavatele (problematika přetržek)</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022717" w:rsidRPr="007D013B" w:rsidRDefault="00022717" w:rsidP="0002271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Požadujeme problematiku přetržek řešit zcela stejně a stejným zněním jako je navrženo v nových pravidlech trhu s plynem.</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Dále navrhujeme změnu názvu ustanovení, protože se má jednat o řešení „přetržek“ a ne registraci změny dodavatele.</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022717" w:rsidRPr="007D013B" w:rsidRDefault="00022717" w:rsidP="0002271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Navržené znění je nejednoznačné a nesrozumitelní. Není důvod při stejném znění energetického zákona pro obě komodity používat odlišné postupy.</w:t>
      </w:r>
    </w:p>
    <w:p w:rsidR="00205F37" w:rsidRPr="007D013B" w:rsidRDefault="00205F37" w:rsidP="00626610">
      <w:pPr>
        <w:pStyle w:val="Odstavecseseznamem"/>
        <w:spacing w:after="0" w:line="240" w:lineRule="auto"/>
        <w:ind w:left="0"/>
        <w:contextualSpacing w:val="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Ke společnému nadpisu u § 53</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Společný nadpis u § 53 navrhujeme upravit následovně:</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DODÁVKA ELE</w:t>
      </w:r>
      <w:r w:rsidRPr="007D013B">
        <w:rPr>
          <w:b/>
        </w:rPr>
        <w:t>K</w:t>
      </w:r>
      <w:r w:rsidRPr="007D013B">
        <w:t>TŘINY POSLEDNÍ INSTANCE</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Oprava v psaní.</w:t>
      </w:r>
    </w:p>
    <w:p w:rsidR="00205F37" w:rsidRPr="007D013B" w:rsidRDefault="00205F37" w:rsidP="00626610">
      <w:pPr>
        <w:pStyle w:val="Odstavecseseznamem"/>
        <w:spacing w:after="0" w:line="240" w:lineRule="auto"/>
        <w:ind w:left="0"/>
        <w:contextualSpacing w:val="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53 odst. 3</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znění daného ustanovení následovně:</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(3) Pokud je dodavateli nebo subjektu zúčtování, který za dodavatele elektřiny převzal odpovědnost za odchylku, znemožněna registrace údajů o dvoustranných obchodech na dodávku elektřiny nebo účast na trzích s elektřinou organizovaných operátorem trhu, informuje operátor trhu neodkladně o této skutečnosti provozovatele distribučních soustav, příslušné dodavatele elektřiny a výrobce elektřiny a dodavatele poslední instance a zároveň tuto informaci zveřejňuje způsobem umožňujícím dálkový přístup. Operátor trhu současně poskytne dodavateli poslední instance seznamy zákazníků, jimž má být podle energetického zákona zahájena dodávka elektřiny dodavatelem poslední instance, s uvedením jejich identifikačních údajů</w:t>
      </w:r>
      <w:r w:rsidRPr="007D013B">
        <w:rPr>
          <w:b/>
          <w:strike/>
        </w:rPr>
        <w:t>,</w:t>
      </w:r>
      <w:r w:rsidRPr="007D013B">
        <w:t xml:space="preserve"> </w:t>
      </w:r>
      <w:r w:rsidRPr="007D013B">
        <w:rPr>
          <w:b/>
        </w:rPr>
        <w:t>a</w:t>
      </w:r>
      <w:r w:rsidRPr="007D013B">
        <w:t xml:space="preserve"> výčtu jejich odběrných nebo předávacích míst s uvedením identifikačních číselných kódů</w:t>
      </w:r>
      <w:r w:rsidRPr="007D013B">
        <w:rPr>
          <w:b/>
        </w:rPr>
        <w:t xml:space="preserve">, registrační číslo místa spotřeby, předpokládané roční spotřeby, třídy typového diagramu dodávek, distribuční sazby a podílu </w:t>
      </w:r>
      <w:proofErr w:type="spellStart"/>
      <w:r w:rsidRPr="007D013B">
        <w:rPr>
          <w:b/>
        </w:rPr>
        <w:t>VT</w:t>
      </w:r>
      <w:proofErr w:type="spellEnd"/>
      <w:r w:rsidRPr="007D013B">
        <w:rPr>
          <w:b/>
        </w:rPr>
        <w:t xml:space="preserve"> a NT na celkové spotřebě. Identifikačními údaji zákazníka se rozumí jméno, příjmení a bydliště zákazníka (obchodní firma nebo název a sídlo právnické osoby, identifikační číslo) a doručovací adresa zákazníka</w:t>
      </w:r>
      <w:r w:rsidR="00854DBF" w:rsidRPr="007D013B">
        <w:t>.</w:t>
      </w:r>
    </w:p>
    <w:p w:rsidR="00626610" w:rsidRPr="007D013B" w:rsidRDefault="00626610"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26610" w:rsidRPr="007D013B" w:rsidRDefault="00626610" w:rsidP="00626610">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854DBF" w:rsidRPr="007D013B" w:rsidRDefault="00854DBF" w:rsidP="00626610">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Veškeré doplněné údaje považujeme za nezbytné pro zaslání správných informací dotčeným zákazníkům požadovaných dle § 53 odst. 7 vyhlášky, zejména pak informací týkající se stanovení výše záloh a ceny za dodávku elektřiny.</w:t>
      </w:r>
    </w:p>
    <w:p w:rsidR="00205F37" w:rsidRPr="007D013B" w:rsidRDefault="00205F37" w:rsidP="00854DBF">
      <w:pPr>
        <w:pStyle w:val="Odstavecseseznamem"/>
        <w:spacing w:after="0" w:line="240" w:lineRule="auto"/>
        <w:ind w:left="0"/>
        <w:contextualSpacing w:val="0"/>
        <w:jc w:val="both"/>
      </w:pPr>
    </w:p>
    <w:p w:rsidR="00854DBF" w:rsidRPr="007D013B" w:rsidRDefault="00854DBF" w:rsidP="00854DBF">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 53 odst. 7</w:t>
      </w:r>
    </w:p>
    <w:p w:rsidR="00854DBF" w:rsidRPr="007D013B" w:rsidRDefault="00854DBF" w:rsidP="00854DB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854DBF" w:rsidRPr="007D013B" w:rsidRDefault="00854DBF" w:rsidP="00854DBF">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854DBF" w:rsidRPr="007D013B" w:rsidRDefault="00854DBF" w:rsidP="00854DB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upravit znění daného ustanovení následovně:</w:t>
      </w:r>
    </w:p>
    <w:p w:rsidR="00854DBF" w:rsidRPr="007D013B" w:rsidRDefault="00854DBF" w:rsidP="00854DBF">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 xml:space="preserve">(7) Dodavatel poslední instance zašle dotčeným zákazníkům </w:t>
      </w:r>
      <w:r w:rsidRPr="007D013B">
        <w:rPr>
          <w:b/>
        </w:rPr>
        <w:t xml:space="preserve">bezodkladně, nejdéle však </w:t>
      </w:r>
      <w:r w:rsidRPr="007D013B">
        <w:t xml:space="preserve">do </w:t>
      </w:r>
      <w:r w:rsidRPr="007D013B">
        <w:rPr>
          <w:b/>
        </w:rPr>
        <w:t>15</w:t>
      </w:r>
      <w:r w:rsidRPr="007D013B">
        <w:rPr>
          <w:strike/>
        </w:rPr>
        <w:t>2</w:t>
      </w:r>
      <w:r w:rsidRPr="007D013B">
        <w:t xml:space="preserve"> pracovních dnů </w:t>
      </w:r>
      <w:r w:rsidRPr="007D013B">
        <w:rPr>
          <w:strike/>
        </w:rPr>
        <w:t xml:space="preserve">po zahájení dodávky elektřiny dodavatelem poslední </w:t>
      </w:r>
      <w:proofErr w:type="spellStart"/>
      <w:r w:rsidRPr="007D013B">
        <w:rPr>
          <w:strike/>
        </w:rPr>
        <w:t>instance</w:t>
      </w:r>
      <w:r w:rsidRPr="007D013B">
        <w:rPr>
          <w:b/>
        </w:rPr>
        <w:t>ode</w:t>
      </w:r>
      <w:proofErr w:type="spellEnd"/>
      <w:r w:rsidRPr="007D013B">
        <w:rPr>
          <w:b/>
        </w:rPr>
        <w:t xml:space="preserve"> dne splnění povinnosti operátora trhu předat dodavateli poslední instance údaje dle odstavce 3</w:t>
      </w:r>
      <w:r w:rsidRPr="007D013B">
        <w:t>, zprávu, která obsahuje…</w:t>
      </w:r>
    </w:p>
    <w:p w:rsidR="00854DBF" w:rsidRPr="007D013B" w:rsidRDefault="00854DBF" w:rsidP="00854DB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854DBF" w:rsidRPr="007D013B" w:rsidRDefault="00854DBF" w:rsidP="00854DBF">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lastRenderedPageBreak/>
        <w:t>Odůvodnění:</w:t>
      </w:r>
    </w:p>
    <w:p w:rsidR="00854DBF" w:rsidRPr="007D013B" w:rsidRDefault="00854DBF" w:rsidP="00854DB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Stanovené dvoudenní lhůta je pouze těžko splnitelná. V případě, kdy dojde ke zrušení licence registrovaného účastníka trhu, který dodává většímu počtu zákazníků, je pak dodržení dvoudenní lhůty zcela nereálné. Počátek této lhůty zároveň požadujeme posunout na okamžik, kdy budou řádně poskytnuty údaje dle § 53 odst. 3 ve znění našeho návrhu, jelikož tyto údaje jsou nezbytné pro splnění povinnosti dodavatele poslední instance dle tohoto odstavce.</w:t>
      </w:r>
    </w:p>
    <w:p w:rsidR="00205F37" w:rsidRPr="007D013B" w:rsidRDefault="00205F37" w:rsidP="00BF6D79">
      <w:pPr>
        <w:pStyle w:val="Odstavecseseznamem"/>
        <w:spacing w:after="0" w:line="240" w:lineRule="auto"/>
        <w:ind w:left="0"/>
        <w:contextualSpacing w:val="0"/>
        <w:jc w:val="both"/>
      </w:pPr>
    </w:p>
    <w:p w:rsidR="00022717" w:rsidRPr="007D013B" w:rsidRDefault="00022717" w:rsidP="0002271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K příloze č. 3 k vyhlášce - Náležitosti žádosti o poskytnutí služby distribuční soustavy</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022717" w:rsidRPr="007D013B" w:rsidRDefault="00022717" w:rsidP="0002271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Požadujeme vypustit:</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Účel odběru</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Předmět podnikání</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Předpokládané množství odebrané elektřiny za rok jméno a datum narození všech členů tohoto orgánu</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Osoba nebo osoby, které jsou statutárním orgánem – vyplňuje pouze právnická osoba - příjmení</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022717" w:rsidRPr="007D013B" w:rsidRDefault="00022717" w:rsidP="00022717">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Odůvodnění:</w:t>
      </w:r>
    </w:p>
    <w:p w:rsidR="00022717" w:rsidRPr="007D013B" w:rsidRDefault="00022717" w:rsidP="0002271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Navržené položky jsou nadbytečné a nevyužitelné pro účely poskytnutí služby distribuční soustavy.</w:t>
      </w:r>
    </w:p>
    <w:p w:rsidR="00022717" w:rsidRPr="007D013B" w:rsidRDefault="00022717" w:rsidP="00BF6D79">
      <w:pPr>
        <w:pStyle w:val="Odstavecseseznamem"/>
        <w:spacing w:after="0" w:line="240" w:lineRule="auto"/>
        <w:ind w:left="0"/>
        <w:contextualSpacing w:val="0"/>
        <w:jc w:val="both"/>
      </w:pPr>
    </w:p>
    <w:p w:rsidR="00022717" w:rsidRPr="007D013B" w:rsidRDefault="00022717" w:rsidP="00BF6D79">
      <w:pPr>
        <w:pStyle w:val="Odstavecseseznamem"/>
        <w:spacing w:after="0" w:line="240" w:lineRule="auto"/>
        <w:ind w:left="0"/>
        <w:contextualSpacing w:val="0"/>
        <w:jc w:val="both"/>
      </w:pPr>
    </w:p>
    <w:p w:rsidR="00B71F43" w:rsidRPr="007D013B" w:rsidRDefault="00B71F43" w:rsidP="00BF6D79">
      <w:pPr>
        <w:pStyle w:val="Odstavecseseznamem"/>
        <w:spacing w:after="0" w:line="240" w:lineRule="auto"/>
        <w:ind w:left="0"/>
        <w:contextualSpacing w:val="0"/>
        <w:jc w:val="both"/>
      </w:pPr>
    </w:p>
    <w:p w:rsidR="00BF6D79" w:rsidRPr="007D013B" w:rsidRDefault="00BF6D79" w:rsidP="00BF6D79">
      <w:pPr>
        <w:tabs>
          <w:tab w:val="left" w:pos="567"/>
        </w:tabs>
        <w:spacing w:after="0" w:line="240" w:lineRule="auto"/>
        <w:jc w:val="both"/>
        <w:rPr>
          <w:b/>
        </w:rPr>
      </w:pPr>
      <w:r w:rsidRPr="007D013B">
        <w:rPr>
          <w:b/>
        </w:rPr>
        <w:t>D.</w:t>
      </w:r>
      <w:r w:rsidRPr="007D013B">
        <w:rPr>
          <w:b/>
        </w:rPr>
        <w:tab/>
        <w:t>FORMÁLNÍ PŘIPOMÍNKY</w:t>
      </w:r>
    </w:p>
    <w:p w:rsidR="00205F37" w:rsidRPr="007D013B" w:rsidRDefault="00205F37" w:rsidP="00EC1B19">
      <w:pPr>
        <w:pStyle w:val="Odstavecseseznamem"/>
        <w:spacing w:after="0" w:line="240" w:lineRule="auto"/>
        <w:ind w:left="0"/>
        <w:contextualSpacing w:val="0"/>
        <w:jc w:val="both"/>
      </w:pPr>
    </w:p>
    <w:p w:rsidR="00EC1B19" w:rsidRPr="007D013B" w:rsidRDefault="00EC1B19" w:rsidP="00EC1B19">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7D013B">
        <w:rPr>
          <w:b/>
        </w:rPr>
        <w:t>Návrh:</w:t>
      </w:r>
    </w:p>
    <w:p w:rsidR="00EC1B19" w:rsidRPr="007D013B" w:rsidRDefault="00EC1B19" w:rsidP="00EC1B19">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7D013B">
        <w:t>Navrhujeme návrh ještě jednou zrevidovat i po formální stránce a z formálních připomínek si dovolujeme upozornit např. na následující ustanovení:</w:t>
      </w:r>
    </w:p>
    <w:p w:rsidR="00EC1B19" w:rsidRPr="007D013B" w:rsidRDefault="00350A61" w:rsidP="00EC1B19">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a)</w:t>
      </w:r>
      <w:r w:rsidR="00EC1B19" w:rsidRPr="007D013B">
        <w:t xml:space="preserve"> v § 13 odst. 1 navrhujeme uvést v poznámce pod čarou nařízení (ES) č. 714/2009,</w:t>
      </w:r>
    </w:p>
    <w:p w:rsidR="00022717" w:rsidRPr="007D013B" w:rsidRDefault="00205F37" w:rsidP="00EC1B19">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b</w:t>
      </w:r>
      <w:r w:rsidR="00350A61" w:rsidRPr="007D013B">
        <w:t>)</w:t>
      </w:r>
      <w:r w:rsidR="00022717" w:rsidRPr="007D013B">
        <w:t xml:space="preserve"> v § 39 navrhujeme vypustit název Termíny a postup při volbě a změně dodavatele elektřiny mimo režim přenesené odpovědnosti za odchylku pro jeho naprostou nelogičnost a nesouvislost s navazujícími ustanoveními návrhu. Doporučujeme souvisle pokračovat § 38 bez vkládání tohoto názvu,</w:t>
      </w:r>
    </w:p>
    <w:p w:rsidR="00EC1B19" w:rsidRPr="007D013B" w:rsidRDefault="00205F37" w:rsidP="00EC1B19">
      <w:pPr>
        <w:pStyle w:val="Odstavecseseznamem"/>
        <w:pBdr>
          <w:top w:val="single" w:sz="4" w:space="1" w:color="auto"/>
          <w:left w:val="single" w:sz="4" w:space="4" w:color="auto"/>
          <w:bottom w:val="single" w:sz="4" w:space="1" w:color="auto"/>
          <w:right w:val="single" w:sz="4" w:space="4" w:color="auto"/>
        </w:pBdr>
        <w:spacing w:after="0" w:line="240" w:lineRule="auto"/>
        <w:ind w:left="284" w:hanging="284"/>
        <w:jc w:val="both"/>
      </w:pPr>
      <w:r w:rsidRPr="007D013B">
        <w:t>c</w:t>
      </w:r>
      <w:r w:rsidR="00350A61" w:rsidRPr="007D013B">
        <w:t>)</w:t>
      </w:r>
      <w:r w:rsidR="00EC1B19" w:rsidRPr="007D013B">
        <w:t xml:space="preserve"> v § 45 odst. 4 navrhujeme upravit odkaz nikoliv na odst. 3, ale odst. 1.</w:t>
      </w:r>
    </w:p>
    <w:p w:rsidR="00EC1B19" w:rsidRPr="007D013B" w:rsidRDefault="00EC1B19" w:rsidP="00EC1B19">
      <w:pPr>
        <w:pStyle w:val="Odstavecseseznamem"/>
        <w:spacing w:after="0" w:line="240" w:lineRule="auto"/>
        <w:ind w:left="0"/>
        <w:contextualSpacing w:val="0"/>
        <w:jc w:val="both"/>
      </w:pPr>
    </w:p>
    <w:p w:rsidR="00530174" w:rsidRPr="007D013B" w:rsidRDefault="00530174" w:rsidP="00E4793A">
      <w:pPr>
        <w:pStyle w:val="Odstavecseseznamem"/>
        <w:spacing w:after="0" w:line="240" w:lineRule="auto"/>
        <w:ind w:left="0"/>
        <w:contextualSpacing w:val="0"/>
        <w:jc w:val="both"/>
      </w:pPr>
    </w:p>
    <w:p w:rsidR="007F341C" w:rsidRPr="007D013B" w:rsidRDefault="007F341C"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350A61" w:rsidRPr="007D013B" w:rsidRDefault="00350A61" w:rsidP="00E4793A">
      <w:pPr>
        <w:pStyle w:val="Odstavecseseznamem"/>
        <w:spacing w:after="0" w:line="240" w:lineRule="auto"/>
        <w:ind w:left="0"/>
        <w:contextualSpacing w:val="0"/>
        <w:jc w:val="both"/>
      </w:pPr>
    </w:p>
    <w:p w:rsidR="00BB224C" w:rsidRPr="00205F37" w:rsidRDefault="007211BC" w:rsidP="00E4793A">
      <w:pPr>
        <w:pStyle w:val="Odstavecseseznamem"/>
        <w:spacing w:after="0" w:line="240" w:lineRule="auto"/>
        <w:ind w:left="0"/>
        <w:contextualSpacing w:val="0"/>
        <w:jc w:val="both"/>
      </w:pPr>
      <w:r w:rsidRPr="007D013B">
        <w:t xml:space="preserve">Praha </w:t>
      </w:r>
      <w:r w:rsidR="007F341C" w:rsidRPr="007D013B">
        <w:t>6</w:t>
      </w:r>
      <w:r w:rsidRPr="007D013B">
        <w:t xml:space="preserve">. </w:t>
      </w:r>
      <w:r w:rsidR="007F341C" w:rsidRPr="007D013B">
        <w:t>listopadu</w:t>
      </w:r>
      <w:r w:rsidRPr="007D013B">
        <w:t xml:space="preserve"> 2015</w:t>
      </w:r>
    </w:p>
    <w:sectPr w:rsidR="00BB224C" w:rsidRPr="00205F37" w:rsidSect="00EF4F68">
      <w:headerReference w:type="default" r:id="rId8"/>
      <w:footerReference w:type="default" r:id="rId9"/>
      <w:headerReference w:type="first" r:id="rId10"/>
      <w:footerReference w:type="first" r:id="rId11"/>
      <w:pgSz w:w="11906" w:h="16838" w:code="9"/>
      <w:pgMar w:top="1985" w:right="1418" w:bottom="992"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B7" w:rsidRDefault="00DD4AB7" w:rsidP="008A71EA">
      <w:pPr>
        <w:spacing w:after="0" w:line="240" w:lineRule="auto"/>
      </w:pPr>
      <w:r>
        <w:separator/>
      </w:r>
    </w:p>
  </w:endnote>
  <w:endnote w:type="continuationSeparator" w:id="0">
    <w:p w:rsidR="00DD4AB7" w:rsidRDefault="00DD4AB7" w:rsidP="008A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576"/>
      <w:docPartObj>
        <w:docPartGallery w:val="Page Numbers (Bottom of Page)"/>
        <w:docPartUnique/>
      </w:docPartObj>
    </w:sdtPr>
    <w:sdtContent>
      <w:p w:rsidR="009C426E" w:rsidRDefault="001E41FD">
        <w:pPr>
          <w:pStyle w:val="Zpat"/>
          <w:jc w:val="center"/>
        </w:pPr>
        <w:r>
          <w:fldChar w:fldCharType="begin"/>
        </w:r>
        <w:r w:rsidR="009C426E">
          <w:instrText xml:space="preserve"> PAGE   \* MERGEFORMAT </w:instrText>
        </w:r>
        <w:r>
          <w:fldChar w:fldCharType="separate"/>
        </w:r>
        <w:r w:rsidR="007D013B">
          <w:rPr>
            <w:noProof/>
          </w:rPr>
          <w:t>6</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6E" w:rsidRDefault="009C426E" w:rsidP="00A77BD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B7" w:rsidRDefault="00DD4AB7" w:rsidP="008A71EA">
      <w:pPr>
        <w:spacing w:after="0" w:line="240" w:lineRule="auto"/>
      </w:pPr>
      <w:r>
        <w:separator/>
      </w:r>
    </w:p>
  </w:footnote>
  <w:footnote w:type="continuationSeparator" w:id="0">
    <w:p w:rsidR="00DD4AB7" w:rsidRDefault="00DD4AB7" w:rsidP="008A7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6E" w:rsidRDefault="009C426E" w:rsidP="008A71EA">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6E" w:rsidRDefault="009C426E" w:rsidP="00EF4F68">
    <w:pPr>
      <w:pStyle w:val="Zhlav"/>
      <w:jc w:val="center"/>
    </w:pPr>
    <w:r w:rsidRPr="00EF4F68">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030F5B"/>
    <w:rsid w:val="0000748C"/>
    <w:rsid w:val="00014188"/>
    <w:rsid w:val="00022717"/>
    <w:rsid w:val="0002368B"/>
    <w:rsid w:val="00025760"/>
    <w:rsid w:val="00030F5B"/>
    <w:rsid w:val="00045007"/>
    <w:rsid w:val="00057AB0"/>
    <w:rsid w:val="00061102"/>
    <w:rsid w:val="00076948"/>
    <w:rsid w:val="00085B92"/>
    <w:rsid w:val="000A22B9"/>
    <w:rsid w:val="000B1358"/>
    <w:rsid w:val="000B5F11"/>
    <w:rsid w:val="000D4DF8"/>
    <w:rsid w:val="000D5667"/>
    <w:rsid w:val="000E54A2"/>
    <w:rsid w:val="000E5BD7"/>
    <w:rsid w:val="00100723"/>
    <w:rsid w:val="001016C8"/>
    <w:rsid w:val="00102933"/>
    <w:rsid w:val="001109DD"/>
    <w:rsid w:val="00120E1D"/>
    <w:rsid w:val="001221E6"/>
    <w:rsid w:val="001400CE"/>
    <w:rsid w:val="00143C7A"/>
    <w:rsid w:val="00145425"/>
    <w:rsid w:val="0014700F"/>
    <w:rsid w:val="0016267E"/>
    <w:rsid w:val="001638BC"/>
    <w:rsid w:val="00165764"/>
    <w:rsid w:val="0017548D"/>
    <w:rsid w:val="00183C02"/>
    <w:rsid w:val="00184260"/>
    <w:rsid w:val="00193D68"/>
    <w:rsid w:val="0019673D"/>
    <w:rsid w:val="001A4E19"/>
    <w:rsid w:val="001A5459"/>
    <w:rsid w:val="001B266B"/>
    <w:rsid w:val="001B5C83"/>
    <w:rsid w:val="001C5B62"/>
    <w:rsid w:val="001E18F7"/>
    <w:rsid w:val="001E276E"/>
    <w:rsid w:val="001E3DE7"/>
    <w:rsid w:val="001E41FD"/>
    <w:rsid w:val="001E5462"/>
    <w:rsid w:val="001F4636"/>
    <w:rsid w:val="00201A30"/>
    <w:rsid w:val="00205F37"/>
    <w:rsid w:val="00220536"/>
    <w:rsid w:val="00223089"/>
    <w:rsid w:val="00241F59"/>
    <w:rsid w:val="002515A5"/>
    <w:rsid w:val="00260FC6"/>
    <w:rsid w:val="00263AFD"/>
    <w:rsid w:val="00265046"/>
    <w:rsid w:val="00273F1D"/>
    <w:rsid w:val="00274C02"/>
    <w:rsid w:val="00276473"/>
    <w:rsid w:val="00282BE5"/>
    <w:rsid w:val="00283BE8"/>
    <w:rsid w:val="00294493"/>
    <w:rsid w:val="002A2000"/>
    <w:rsid w:val="002B3746"/>
    <w:rsid w:val="002B5093"/>
    <w:rsid w:val="002B77CA"/>
    <w:rsid w:val="002C5185"/>
    <w:rsid w:val="002C57DD"/>
    <w:rsid w:val="002E574E"/>
    <w:rsid w:val="002F2828"/>
    <w:rsid w:val="002F4734"/>
    <w:rsid w:val="002F792F"/>
    <w:rsid w:val="00302F26"/>
    <w:rsid w:val="00303377"/>
    <w:rsid w:val="003045D5"/>
    <w:rsid w:val="00314665"/>
    <w:rsid w:val="0031525C"/>
    <w:rsid w:val="00316A6B"/>
    <w:rsid w:val="0032279B"/>
    <w:rsid w:val="00324F39"/>
    <w:rsid w:val="00325E40"/>
    <w:rsid w:val="00333A11"/>
    <w:rsid w:val="00346CB3"/>
    <w:rsid w:val="00350A61"/>
    <w:rsid w:val="00351768"/>
    <w:rsid w:val="0035681E"/>
    <w:rsid w:val="00376877"/>
    <w:rsid w:val="0038023F"/>
    <w:rsid w:val="00381EA0"/>
    <w:rsid w:val="00383044"/>
    <w:rsid w:val="00385822"/>
    <w:rsid w:val="003A2D75"/>
    <w:rsid w:val="003A720A"/>
    <w:rsid w:val="003B1511"/>
    <w:rsid w:val="003C7E14"/>
    <w:rsid w:val="003D172E"/>
    <w:rsid w:val="003D2DAA"/>
    <w:rsid w:val="003E26AC"/>
    <w:rsid w:val="00402E21"/>
    <w:rsid w:val="00404F30"/>
    <w:rsid w:val="00415CA8"/>
    <w:rsid w:val="00417B0F"/>
    <w:rsid w:val="004238B4"/>
    <w:rsid w:val="004249D2"/>
    <w:rsid w:val="004325EC"/>
    <w:rsid w:val="00457528"/>
    <w:rsid w:val="0047349B"/>
    <w:rsid w:val="00475E3F"/>
    <w:rsid w:val="00480C7C"/>
    <w:rsid w:val="0048475A"/>
    <w:rsid w:val="00493533"/>
    <w:rsid w:val="00494C53"/>
    <w:rsid w:val="004A53A9"/>
    <w:rsid w:val="004B2CE5"/>
    <w:rsid w:val="004D5CCD"/>
    <w:rsid w:val="004F1002"/>
    <w:rsid w:val="00503560"/>
    <w:rsid w:val="00506AB3"/>
    <w:rsid w:val="0050702F"/>
    <w:rsid w:val="00515B3B"/>
    <w:rsid w:val="00520425"/>
    <w:rsid w:val="005210BB"/>
    <w:rsid w:val="00524DCE"/>
    <w:rsid w:val="00530174"/>
    <w:rsid w:val="00535CAD"/>
    <w:rsid w:val="00544135"/>
    <w:rsid w:val="00544318"/>
    <w:rsid w:val="0055158F"/>
    <w:rsid w:val="005518E2"/>
    <w:rsid w:val="00552556"/>
    <w:rsid w:val="00552BD6"/>
    <w:rsid w:val="00560910"/>
    <w:rsid w:val="00561947"/>
    <w:rsid w:val="00565008"/>
    <w:rsid w:val="005664DD"/>
    <w:rsid w:val="0057672A"/>
    <w:rsid w:val="005910E5"/>
    <w:rsid w:val="0059271A"/>
    <w:rsid w:val="00595359"/>
    <w:rsid w:val="005A7778"/>
    <w:rsid w:val="005B1309"/>
    <w:rsid w:val="005C2631"/>
    <w:rsid w:val="005C2787"/>
    <w:rsid w:val="005C70D0"/>
    <w:rsid w:val="00610C57"/>
    <w:rsid w:val="006119F9"/>
    <w:rsid w:val="00613210"/>
    <w:rsid w:val="0061795C"/>
    <w:rsid w:val="00626610"/>
    <w:rsid w:val="0063510C"/>
    <w:rsid w:val="00650A05"/>
    <w:rsid w:val="0065326C"/>
    <w:rsid w:val="00654A3C"/>
    <w:rsid w:val="00657BD4"/>
    <w:rsid w:val="00663593"/>
    <w:rsid w:val="00674FEE"/>
    <w:rsid w:val="00691289"/>
    <w:rsid w:val="0069674C"/>
    <w:rsid w:val="006C7CE9"/>
    <w:rsid w:val="006D693F"/>
    <w:rsid w:val="006E0563"/>
    <w:rsid w:val="006E3A8F"/>
    <w:rsid w:val="007017D0"/>
    <w:rsid w:val="0070387F"/>
    <w:rsid w:val="007069C5"/>
    <w:rsid w:val="00707B2A"/>
    <w:rsid w:val="007211BC"/>
    <w:rsid w:val="00751BE3"/>
    <w:rsid w:val="007623AD"/>
    <w:rsid w:val="0077211F"/>
    <w:rsid w:val="0078571A"/>
    <w:rsid w:val="00786B43"/>
    <w:rsid w:val="00790F4F"/>
    <w:rsid w:val="0079393C"/>
    <w:rsid w:val="007A45A0"/>
    <w:rsid w:val="007A47BF"/>
    <w:rsid w:val="007B3F0A"/>
    <w:rsid w:val="007D013B"/>
    <w:rsid w:val="007E105C"/>
    <w:rsid w:val="007E231F"/>
    <w:rsid w:val="007E58AF"/>
    <w:rsid w:val="007F2C28"/>
    <w:rsid w:val="007F341C"/>
    <w:rsid w:val="0081645A"/>
    <w:rsid w:val="00816AE7"/>
    <w:rsid w:val="00826306"/>
    <w:rsid w:val="00827A6E"/>
    <w:rsid w:val="008327D9"/>
    <w:rsid w:val="00832A03"/>
    <w:rsid w:val="00834EBA"/>
    <w:rsid w:val="00837558"/>
    <w:rsid w:val="00844545"/>
    <w:rsid w:val="0085074D"/>
    <w:rsid w:val="00850B7A"/>
    <w:rsid w:val="00854DBF"/>
    <w:rsid w:val="00864678"/>
    <w:rsid w:val="00867D97"/>
    <w:rsid w:val="00870779"/>
    <w:rsid w:val="008734FE"/>
    <w:rsid w:val="00873A04"/>
    <w:rsid w:val="00876D23"/>
    <w:rsid w:val="00885406"/>
    <w:rsid w:val="00885B6A"/>
    <w:rsid w:val="008A52AE"/>
    <w:rsid w:val="008A5CC9"/>
    <w:rsid w:val="008A71EA"/>
    <w:rsid w:val="008D0619"/>
    <w:rsid w:val="008D27E7"/>
    <w:rsid w:val="008E0D50"/>
    <w:rsid w:val="008E140E"/>
    <w:rsid w:val="008F1D8D"/>
    <w:rsid w:val="008F68A2"/>
    <w:rsid w:val="0090765D"/>
    <w:rsid w:val="009141DF"/>
    <w:rsid w:val="00923D21"/>
    <w:rsid w:val="00927EA5"/>
    <w:rsid w:val="009311AE"/>
    <w:rsid w:val="00934F0B"/>
    <w:rsid w:val="00940C00"/>
    <w:rsid w:val="00950081"/>
    <w:rsid w:val="00952847"/>
    <w:rsid w:val="00954DAD"/>
    <w:rsid w:val="00983E70"/>
    <w:rsid w:val="0099545D"/>
    <w:rsid w:val="009A08CE"/>
    <w:rsid w:val="009B0DDF"/>
    <w:rsid w:val="009B3460"/>
    <w:rsid w:val="009C28C1"/>
    <w:rsid w:val="009C426E"/>
    <w:rsid w:val="009E7201"/>
    <w:rsid w:val="009F2383"/>
    <w:rsid w:val="009F6474"/>
    <w:rsid w:val="00A007E2"/>
    <w:rsid w:val="00A0284F"/>
    <w:rsid w:val="00A0530A"/>
    <w:rsid w:val="00A11F37"/>
    <w:rsid w:val="00A31FFB"/>
    <w:rsid w:val="00A3777E"/>
    <w:rsid w:val="00A43425"/>
    <w:rsid w:val="00A45A4F"/>
    <w:rsid w:val="00A46FEB"/>
    <w:rsid w:val="00A537D7"/>
    <w:rsid w:val="00A62BC8"/>
    <w:rsid w:val="00A63A39"/>
    <w:rsid w:val="00A7534C"/>
    <w:rsid w:val="00A77BDA"/>
    <w:rsid w:val="00AA1697"/>
    <w:rsid w:val="00AA631C"/>
    <w:rsid w:val="00AB0E2E"/>
    <w:rsid w:val="00AB1524"/>
    <w:rsid w:val="00AC280E"/>
    <w:rsid w:val="00AC3D97"/>
    <w:rsid w:val="00AC54FF"/>
    <w:rsid w:val="00AC6BB7"/>
    <w:rsid w:val="00AD4F46"/>
    <w:rsid w:val="00AD75A4"/>
    <w:rsid w:val="00AE60BF"/>
    <w:rsid w:val="00AF2A23"/>
    <w:rsid w:val="00AF7610"/>
    <w:rsid w:val="00B05792"/>
    <w:rsid w:val="00B11A85"/>
    <w:rsid w:val="00B406F3"/>
    <w:rsid w:val="00B40EC9"/>
    <w:rsid w:val="00B42679"/>
    <w:rsid w:val="00B42B17"/>
    <w:rsid w:val="00B46592"/>
    <w:rsid w:val="00B51194"/>
    <w:rsid w:val="00B71F43"/>
    <w:rsid w:val="00B74108"/>
    <w:rsid w:val="00B74683"/>
    <w:rsid w:val="00B95FF2"/>
    <w:rsid w:val="00BA05C8"/>
    <w:rsid w:val="00BA412F"/>
    <w:rsid w:val="00BB224C"/>
    <w:rsid w:val="00BB59B5"/>
    <w:rsid w:val="00BB5A3D"/>
    <w:rsid w:val="00BC6EA8"/>
    <w:rsid w:val="00BE23DF"/>
    <w:rsid w:val="00BE48F8"/>
    <w:rsid w:val="00BF6D79"/>
    <w:rsid w:val="00BF710E"/>
    <w:rsid w:val="00C002C0"/>
    <w:rsid w:val="00C079A3"/>
    <w:rsid w:val="00C11A85"/>
    <w:rsid w:val="00C16795"/>
    <w:rsid w:val="00C21CEE"/>
    <w:rsid w:val="00C23AC1"/>
    <w:rsid w:val="00C3752E"/>
    <w:rsid w:val="00C4220C"/>
    <w:rsid w:val="00C4223E"/>
    <w:rsid w:val="00C42DCD"/>
    <w:rsid w:val="00C434FA"/>
    <w:rsid w:val="00C55D7B"/>
    <w:rsid w:val="00C6758B"/>
    <w:rsid w:val="00C704A3"/>
    <w:rsid w:val="00C82487"/>
    <w:rsid w:val="00C86E2B"/>
    <w:rsid w:val="00CA0F2E"/>
    <w:rsid w:val="00CA54E5"/>
    <w:rsid w:val="00CC6D5F"/>
    <w:rsid w:val="00CD1A35"/>
    <w:rsid w:val="00CE2836"/>
    <w:rsid w:val="00CF2C3B"/>
    <w:rsid w:val="00D06D0F"/>
    <w:rsid w:val="00D164C4"/>
    <w:rsid w:val="00D16F7D"/>
    <w:rsid w:val="00D23F90"/>
    <w:rsid w:val="00D37259"/>
    <w:rsid w:val="00D46FE7"/>
    <w:rsid w:val="00D53803"/>
    <w:rsid w:val="00D72BC7"/>
    <w:rsid w:val="00D86343"/>
    <w:rsid w:val="00D93CCB"/>
    <w:rsid w:val="00DA0843"/>
    <w:rsid w:val="00DA1C38"/>
    <w:rsid w:val="00DB0B10"/>
    <w:rsid w:val="00DB2BA4"/>
    <w:rsid w:val="00DC3EB8"/>
    <w:rsid w:val="00DD12DE"/>
    <w:rsid w:val="00DD2185"/>
    <w:rsid w:val="00DD3281"/>
    <w:rsid w:val="00DD4AB7"/>
    <w:rsid w:val="00DD6F4F"/>
    <w:rsid w:val="00DE06B0"/>
    <w:rsid w:val="00DE3A9D"/>
    <w:rsid w:val="00DE762E"/>
    <w:rsid w:val="00DF344A"/>
    <w:rsid w:val="00DF37AA"/>
    <w:rsid w:val="00DF4040"/>
    <w:rsid w:val="00DF4E91"/>
    <w:rsid w:val="00DF622F"/>
    <w:rsid w:val="00E01DF3"/>
    <w:rsid w:val="00E02E9C"/>
    <w:rsid w:val="00E03362"/>
    <w:rsid w:val="00E14FD7"/>
    <w:rsid w:val="00E15B76"/>
    <w:rsid w:val="00E26016"/>
    <w:rsid w:val="00E4793A"/>
    <w:rsid w:val="00E665F7"/>
    <w:rsid w:val="00E710D4"/>
    <w:rsid w:val="00E72CE5"/>
    <w:rsid w:val="00E81D79"/>
    <w:rsid w:val="00E863E5"/>
    <w:rsid w:val="00E96253"/>
    <w:rsid w:val="00EA46ED"/>
    <w:rsid w:val="00EB0B12"/>
    <w:rsid w:val="00EB4D14"/>
    <w:rsid w:val="00EB5907"/>
    <w:rsid w:val="00EC1B19"/>
    <w:rsid w:val="00EE4F03"/>
    <w:rsid w:val="00EF4F68"/>
    <w:rsid w:val="00F074B5"/>
    <w:rsid w:val="00F1590F"/>
    <w:rsid w:val="00F223EC"/>
    <w:rsid w:val="00F25259"/>
    <w:rsid w:val="00F60621"/>
    <w:rsid w:val="00F60BF8"/>
    <w:rsid w:val="00F66369"/>
    <w:rsid w:val="00F741A8"/>
    <w:rsid w:val="00F84217"/>
    <w:rsid w:val="00FB3E1D"/>
    <w:rsid w:val="00FB681B"/>
    <w:rsid w:val="00FB6AEE"/>
    <w:rsid w:val="00FB7F7C"/>
    <w:rsid w:val="00FC6417"/>
    <w:rsid w:val="00FD7DB9"/>
    <w:rsid w:val="00FE2116"/>
    <w:rsid w:val="00FF2990"/>
    <w:rsid w:val="00FF2D73"/>
    <w:rsid w:val="00FF4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8A71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A71EA"/>
  </w:style>
  <w:style w:type="paragraph" w:styleId="Zpat">
    <w:name w:val="footer"/>
    <w:basedOn w:val="Normln"/>
    <w:link w:val="ZpatChar"/>
    <w:uiPriority w:val="99"/>
    <w:unhideWhenUsed/>
    <w:rsid w:val="008A71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1EA"/>
  </w:style>
  <w:style w:type="paragraph" w:styleId="Textbubliny">
    <w:name w:val="Balloon Text"/>
    <w:basedOn w:val="Normln"/>
    <w:link w:val="TextbublinyChar"/>
    <w:uiPriority w:val="99"/>
    <w:semiHidden/>
    <w:unhideWhenUsed/>
    <w:rsid w:val="008A71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1EA"/>
    <w:rPr>
      <w:rFonts w:ascii="Tahoma" w:hAnsi="Tahoma" w:cs="Tahoma"/>
      <w:sz w:val="16"/>
      <w:szCs w:val="16"/>
    </w:rPr>
  </w:style>
  <w:style w:type="character" w:styleId="Odkaznakoment">
    <w:name w:val="annotation reference"/>
    <w:basedOn w:val="Standardnpsmoodstavce"/>
    <w:uiPriority w:val="99"/>
    <w:semiHidden/>
    <w:unhideWhenUsed/>
    <w:rsid w:val="00D16F7D"/>
    <w:rPr>
      <w:sz w:val="16"/>
      <w:szCs w:val="16"/>
    </w:rPr>
  </w:style>
  <w:style w:type="paragraph" w:styleId="Textkomente">
    <w:name w:val="annotation text"/>
    <w:basedOn w:val="Normln"/>
    <w:link w:val="TextkomenteChar"/>
    <w:uiPriority w:val="99"/>
    <w:semiHidden/>
    <w:unhideWhenUsed/>
    <w:rsid w:val="00D16F7D"/>
    <w:pPr>
      <w:spacing w:line="240" w:lineRule="auto"/>
    </w:pPr>
    <w:rPr>
      <w:sz w:val="20"/>
      <w:szCs w:val="20"/>
    </w:rPr>
  </w:style>
  <w:style w:type="character" w:customStyle="1" w:styleId="TextkomenteChar">
    <w:name w:val="Text komentáře Char"/>
    <w:basedOn w:val="Standardnpsmoodstavce"/>
    <w:link w:val="Textkomente"/>
    <w:uiPriority w:val="99"/>
    <w:semiHidden/>
    <w:rsid w:val="00D16F7D"/>
    <w:rPr>
      <w:sz w:val="20"/>
      <w:szCs w:val="20"/>
    </w:rPr>
  </w:style>
  <w:style w:type="paragraph" w:styleId="Pedmtkomente">
    <w:name w:val="annotation subject"/>
    <w:basedOn w:val="Textkomente"/>
    <w:next w:val="Textkomente"/>
    <w:link w:val="PedmtkomenteChar"/>
    <w:uiPriority w:val="99"/>
    <w:semiHidden/>
    <w:unhideWhenUsed/>
    <w:rsid w:val="00D16F7D"/>
    <w:rPr>
      <w:b/>
      <w:bCs/>
    </w:rPr>
  </w:style>
  <w:style w:type="character" w:customStyle="1" w:styleId="PedmtkomenteChar">
    <w:name w:val="Předmět komentáře Char"/>
    <w:basedOn w:val="TextkomenteChar"/>
    <w:link w:val="Pedmtkomente"/>
    <w:uiPriority w:val="99"/>
    <w:semiHidden/>
    <w:rsid w:val="00D16F7D"/>
    <w:rPr>
      <w:b/>
      <w:bCs/>
      <w:sz w:val="20"/>
      <w:szCs w:val="20"/>
    </w:rPr>
  </w:style>
  <w:style w:type="paragraph" w:customStyle="1" w:styleId="nadpiszkona">
    <w:name w:val="nadpis zákona"/>
    <w:basedOn w:val="Normln"/>
    <w:next w:val="Normln"/>
    <w:rsid w:val="0031525C"/>
    <w:pPr>
      <w:keepNext/>
      <w:keepLines/>
      <w:spacing w:before="120"/>
      <w:jc w:val="center"/>
      <w:outlineLvl w:val="0"/>
    </w:pPr>
    <w:rPr>
      <w:rFonts w:asciiTheme="minorHAnsi" w:hAnsiTheme="minorHAnsi" w:cstheme="minorBidi"/>
      <w:b/>
      <w:lang w:val="en-US"/>
    </w:rPr>
  </w:style>
  <w:style w:type="paragraph" w:styleId="Textpoznpodarou">
    <w:name w:val="footnote text"/>
    <w:basedOn w:val="Normln"/>
    <w:link w:val="TextpoznpodarouChar"/>
    <w:uiPriority w:val="99"/>
    <w:semiHidden/>
    <w:unhideWhenUsed/>
    <w:rsid w:val="00FD7DB9"/>
    <w:pPr>
      <w:spacing w:after="0" w:line="240" w:lineRule="auto"/>
    </w:pPr>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FD7DB9"/>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FD7DB9"/>
    <w:rPr>
      <w:vertAlign w:val="superscript"/>
    </w:rPr>
  </w:style>
  <w:style w:type="character" w:styleId="Hypertextovodkaz">
    <w:name w:val="Hyperlink"/>
    <w:basedOn w:val="Standardnpsmoodstavce"/>
    <w:uiPriority w:val="99"/>
    <w:unhideWhenUsed/>
    <w:rsid w:val="00FD7D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6129111">
      <w:bodyDiv w:val="1"/>
      <w:marLeft w:val="0"/>
      <w:marRight w:val="0"/>
      <w:marTop w:val="0"/>
      <w:marBottom w:val="0"/>
      <w:divBdr>
        <w:top w:val="none" w:sz="0" w:space="0" w:color="auto"/>
        <w:left w:val="none" w:sz="0" w:space="0" w:color="auto"/>
        <w:bottom w:val="none" w:sz="0" w:space="0" w:color="auto"/>
        <w:right w:val="none" w:sz="0" w:space="0" w:color="auto"/>
      </w:divBdr>
    </w:div>
    <w:div w:id="1852178610">
      <w:bodyDiv w:val="1"/>
      <w:marLeft w:val="0"/>
      <w:marRight w:val="0"/>
      <w:marTop w:val="0"/>
      <w:marBottom w:val="0"/>
      <w:divBdr>
        <w:top w:val="none" w:sz="0" w:space="0" w:color="auto"/>
        <w:left w:val="none" w:sz="0" w:space="0" w:color="auto"/>
        <w:bottom w:val="none" w:sz="0" w:space="0" w:color="auto"/>
        <w:right w:val="none" w:sz="0" w:space="0" w:color="auto"/>
      </w:divBdr>
    </w:div>
    <w:div w:id="1863088720">
      <w:bodyDiv w:val="1"/>
      <w:marLeft w:val="0"/>
      <w:marRight w:val="0"/>
      <w:marTop w:val="0"/>
      <w:marBottom w:val="0"/>
      <w:divBdr>
        <w:top w:val="none" w:sz="0" w:space="0" w:color="auto"/>
        <w:left w:val="none" w:sz="0" w:space="0" w:color="auto"/>
        <w:bottom w:val="none" w:sz="0" w:space="0" w:color="auto"/>
        <w:right w:val="none" w:sz="0" w:space="0" w:color="auto"/>
      </w:divBdr>
    </w:div>
    <w:div w:id="186851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B4EB-65FA-43CC-9286-125307D1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2067</Words>
  <Characters>12197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6</cp:revision>
  <dcterms:created xsi:type="dcterms:W3CDTF">2015-11-06T12:53:00Z</dcterms:created>
  <dcterms:modified xsi:type="dcterms:W3CDTF">2015-11-20T14:43:00Z</dcterms:modified>
</cp:coreProperties>
</file>