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9322" w:type="dxa"/>
        <w:tblLook w:val="04A0"/>
      </w:tblPr>
      <w:tblGrid>
        <w:gridCol w:w="2093"/>
        <w:gridCol w:w="7229"/>
      </w:tblGrid>
      <w:tr w:rsidR="005B1309" w:rsidRPr="001221E6" w:rsidTr="00457528">
        <w:tc>
          <w:tcPr>
            <w:tcW w:w="2093" w:type="dxa"/>
            <w:vAlign w:val="center"/>
          </w:tcPr>
          <w:p w:rsidR="005B1309" w:rsidRPr="001221E6" w:rsidRDefault="005B1309" w:rsidP="00457528">
            <w:pPr>
              <w:rPr>
                <w:b/>
              </w:rPr>
            </w:pPr>
            <w:r w:rsidRPr="001221E6">
              <w:rPr>
                <w:b/>
              </w:rPr>
              <w:t>Název materiálu:</w:t>
            </w:r>
          </w:p>
        </w:tc>
        <w:tc>
          <w:tcPr>
            <w:tcW w:w="7229" w:type="dxa"/>
            <w:vAlign w:val="center"/>
          </w:tcPr>
          <w:p w:rsidR="005B1309" w:rsidRPr="001221E6" w:rsidRDefault="00F66369" w:rsidP="007211BC">
            <w:pPr>
              <w:rPr>
                <w:b/>
              </w:rPr>
            </w:pPr>
            <w:r>
              <w:rPr>
                <w:b/>
              </w:rPr>
              <w:t xml:space="preserve">Návrh vyhlášky o </w:t>
            </w:r>
            <w:r w:rsidRPr="00F66369">
              <w:rPr>
                <w:b/>
              </w:rPr>
              <w:t>podrobnostech udělování licencí pro podnikání v energetických odvětvích</w:t>
            </w:r>
            <w:r w:rsidR="007211BC">
              <w:rPr>
                <w:b/>
              </w:rPr>
              <w:t xml:space="preserve"> </w:t>
            </w:r>
            <w:r w:rsidR="007211BC" w:rsidRPr="007211BC">
              <w:t xml:space="preserve">(zveřejněno </w:t>
            </w:r>
            <w:proofErr w:type="spellStart"/>
            <w:r w:rsidR="007211BC" w:rsidRPr="007211BC">
              <w:t>HK</w:t>
            </w:r>
            <w:proofErr w:type="spellEnd"/>
            <w:r w:rsidR="007211BC" w:rsidRPr="007211BC">
              <w:t xml:space="preserve"> ČR dne</w:t>
            </w:r>
            <w:r w:rsidR="007211BC">
              <w:t xml:space="preserve"> 22. 9. 2015)</w:t>
            </w:r>
          </w:p>
        </w:tc>
      </w:tr>
      <w:tr w:rsidR="005B1309" w:rsidRPr="001221E6" w:rsidTr="00457528">
        <w:tc>
          <w:tcPr>
            <w:tcW w:w="2093" w:type="dxa"/>
            <w:vAlign w:val="center"/>
          </w:tcPr>
          <w:p w:rsidR="005B1309" w:rsidRPr="001221E6" w:rsidRDefault="005B1309" w:rsidP="00457528">
            <w:pPr>
              <w:rPr>
                <w:b/>
              </w:rPr>
            </w:pPr>
            <w:r w:rsidRPr="001221E6">
              <w:rPr>
                <w:b/>
              </w:rPr>
              <w:t>Jméno:</w:t>
            </w:r>
          </w:p>
        </w:tc>
        <w:tc>
          <w:tcPr>
            <w:tcW w:w="7229" w:type="dxa"/>
            <w:vAlign w:val="center"/>
          </w:tcPr>
          <w:p w:rsidR="0031525C" w:rsidRDefault="0031525C" w:rsidP="00457528">
            <w:r>
              <w:t>František Fejgl</w:t>
            </w:r>
          </w:p>
          <w:p w:rsidR="005B1309" w:rsidRPr="001221E6" w:rsidRDefault="008A71EA" w:rsidP="00457528">
            <w:r w:rsidRPr="001221E6">
              <w:t>Tomáš Pecánek</w:t>
            </w:r>
          </w:p>
        </w:tc>
      </w:tr>
      <w:tr w:rsidR="005B1309" w:rsidRPr="001221E6" w:rsidTr="00457528">
        <w:tc>
          <w:tcPr>
            <w:tcW w:w="2093" w:type="dxa"/>
            <w:vAlign w:val="center"/>
          </w:tcPr>
          <w:p w:rsidR="005B1309" w:rsidRPr="001221E6" w:rsidRDefault="005B1309" w:rsidP="00457528">
            <w:pPr>
              <w:rPr>
                <w:b/>
              </w:rPr>
            </w:pPr>
            <w:r w:rsidRPr="001221E6">
              <w:rPr>
                <w:b/>
              </w:rPr>
              <w:t>Telefon</w:t>
            </w:r>
            <w:r w:rsidRPr="001221E6">
              <w:rPr>
                <w:b/>
              </w:rPr>
              <w:tab/>
              <w:t>:</w:t>
            </w:r>
          </w:p>
        </w:tc>
        <w:tc>
          <w:tcPr>
            <w:tcW w:w="7229" w:type="dxa"/>
            <w:vAlign w:val="center"/>
          </w:tcPr>
          <w:p w:rsidR="0031525C" w:rsidRDefault="0031525C" w:rsidP="00457528">
            <w:r w:rsidRPr="001221E6">
              <w:t>+420 602</w:t>
            </w:r>
            <w:r>
              <w:t> 108 487</w:t>
            </w:r>
          </w:p>
          <w:p w:rsidR="005B1309" w:rsidRPr="001221E6" w:rsidRDefault="008A71EA" w:rsidP="00457528">
            <w:r w:rsidRPr="001221E6">
              <w:t>+420 602 560 771</w:t>
            </w:r>
          </w:p>
        </w:tc>
      </w:tr>
      <w:tr w:rsidR="005B1309" w:rsidRPr="001221E6" w:rsidTr="00457528">
        <w:tc>
          <w:tcPr>
            <w:tcW w:w="2093" w:type="dxa"/>
            <w:vAlign w:val="center"/>
          </w:tcPr>
          <w:p w:rsidR="005B1309" w:rsidRPr="001221E6" w:rsidRDefault="005B1309" w:rsidP="00457528">
            <w:pPr>
              <w:rPr>
                <w:b/>
              </w:rPr>
            </w:pPr>
            <w:r w:rsidRPr="001221E6">
              <w:rPr>
                <w:b/>
              </w:rPr>
              <w:t>e-mail:</w:t>
            </w:r>
          </w:p>
        </w:tc>
        <w:tc>
          <w:tcPr>
            <w:tcW w:w="7229" w:type="dxa"/>
            <w:vAlign w:val="center"/>
          </w:tcPr>
          <w:p w:rsidR="005B1309" w:rsidRPr="001221E6" w:rsidRDefault="008A71EA" w:rsidP="00457528">
            <w:proofErr w:type="spellStart"/>
            <w:r w:rsidRPr="001221E6">
              <w:t>tomas.pecanek</w:t>
            </w:r>
            <w:proofErr w:type="spellEnd"/>
            <w:r w:rsidRPr="001221E6">
              <w:t>@</w:t>
            </w:r>
            <w:proofErr w:type="spellStart"/>
            <w:r w:rsidRPr="001221E6">
              <w:t>cgoa.cz</w:t>
            </w:r>
            <w:proofErr w:type="spellEnd"/>
          </w:p>
        </w:tc>
      </w:tr>
    </w:tbl>
    <w:p w:rsidR="008A71EA" w:rsidRPr="001221E6" w:rsidRDefault="008A71EA" w:rsidP="00E02E9C">
      <w:pPr>
        <w:tabs>
          <w:tab w:val="left" w:pos="567"/>
        </w:tabs>
        <w:spacing w:after="0" w:line="240" w:lineRule="auto"/>
        <w:jc w:val="both"/>
        <w:rPr>
          <w:b/>
        </w:rPr>
      </w:pPr>
    </w:p>
    <w:p w:rsidR="00457528" w:rsidRPr="001221E6" w:rsidRDefault="00457528" w:rsidP="00E02E9C">
      <w:pPr>
        <w:tabs>
          <w:tab w:val="left" w:pos="567"/>
        </w:tabs>
        <w:spacing w:after="0" w:line="240" w:lineRule="auto"/>
        <w:jc w:val="both"/>
        <w:rPr>
          <w:b/>
        </w:rPr>
      </w:pPr>
    </w:p>
    <w:p w:rsidR="00457528" w:rsidRPr="001221E6" w:rsidRDefault="00457528" w:rsidP="00457528">
      <w:pPr>
        <w:spacing w:after="0" w:line="240" w:lineRule="auto"/>
        <w:rPr>
          <w:b/>
        </w:rPr>
      </w:pPr>
    </w:p>
    <w:p w:rsidR="00457528" w:rsidRPr="001221E6" w:rsidRDefault="00457528" w:rsidP="00457528">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1221E6">
        <w:rPr>
          <w:b/>
        </w:rPr>
        <w:t>A.</w:t>
      </w:r>
      <w:r w:rsidRPr="001221E6">
        <w:rPr>
          <w:b/>
        </w:rPr>
        <w:tab/>
        <w:t>SHRNUTÍ HLAVNÍCH DOPADŮ PŘEDLOŽENÉHO MATERIÁLU</w:t>
      </w:r>
      <w:r w:rsidRPr="001221E6">
        <w:t xml:space="preserve"> </w:t>
      </w:r>
    </w:p>
    <w:p w:rsidR="00457528" w:rsidRPr="001221E6" w:rsidRDefault="00457528" w:rsidP="0045752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p>
    <w:p w:rsidR="00457528" w:rsidRPr="001221E6" w:rsidRDefault="00457528" w:rsidP="00457528">
      <w:pPr>
        <w:tabs>
          <w:tab w:val="left" w:pos="567"/>
        </w:tabs>
        <w:spacing w:after="0" w:line="240" w:lineRule="auto"/>
        <w:contextualSpacing/>
        <w:jc w:val="both"/>
      </w:pPr>
    </w:p>
    <w:p w:rsidR="00F25259" w:rsidRPr="001221E6" w:rsidRDefault="00F25259" w:rsidP="00457528">
      <w:pPr>
        <w:tabs>
          <w:tab w:val="left" w:pos="567"/>
        </w:tabs>
        <w:spacing w:after="0" w:line="240" w:lineRule="auto"/>
        <w:contextualSpacing/>
        <w:jc w:val="both"/>
      </w:pPr>
    </w:p>
    <w:p w:rsidR="00832A03" w:rsidRDefault="00457528" w:rsidP="00F66369">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1221E6">
        <w:rPr>
          <w:b/>
        </w:rPr>
        <w:t>B.</w:t>
      </w:r>
      <w:r w:rsidRPr="001221E6">
        <w:rPr>
          <w:b/>
        </w:rPr>
        <w:tab/>
      </w:r>
      <w:r w:rsidR="0031525C">
        <w:rPr>
          <w:b/>
        </w:rPr>
        <w:t xml:space="preserve">ZÁSADNÍ </w:t>
      </w:r>
      <w:r w:rsidRPr="001221E6">
        <w:rPr>
          <w:b/>
        </w:rPr>
        <w:t>OBECNÁ PŘIPOMÍNKA</w:t>
      </w:r>
    </w:p>
    <w:p w:rsidR="006E0563" w:rsidRDefault="006E0563" w:rsidP="0045752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p>
    <w:p w:rsidR="00457528" w:rsidRDefault="00457528" w:rsidP="0079393C">
      <w:pPr>
        <w:pStyle w:val="Odstavecseseznamem"/>
        <w:tabs>
          <w:tab w:val="left" w:pos="567"/>
        </w:tabs>
        <w:spacing w:after="0" w:line="240" w:lineRule="auto"/>
        <w:ind w:left="0"/>
        <w:contextualSpacing w:val="0"/>
        <w:jc w:val="both"/>
      </w:pPr>
    </w:p>
    <w:p w:rsidR="00EF4F68" w:rsidRPr="001221E6" w:rsidRDefault="00EF4F68" w:rsidP="0079393C">
      <w:pPr>
        <w:pStyle w:val="Odstavecseseznamem"/>
        <w:tabs>
          <w:tab w:val="left" w:pos="567"/>
        </w:tabs>
        <w:spacing w:after="0" w:line="240" w:lineRule="auto"/>
        <w:ind w:left="0"/>
        <w:contextualSpacing w:val="0"/>
        <w:jc w:val="both"/>
      </w:pPr>
    </w:p>
    <w:p w:rsidR="004D5CCD" w:rsidRDefault="00457528" w:rsidP="008A71EA">
      <w:pPr>
        <w:tabs>
          <w:tab w:val="left" w:pos="567"/>
        </w:tabs>
        <w:spacing w:after="0" w:line="240" w:lineRule="auto"/>
        <w:jc w:val="both"/>
        <w:rPr>
          <w:b/>
        </w:rPr>
      </w:pPr>
      <w:r w:rsidRPr="001221E6">
        <w:rPr>
          <w:b/>
        </w:rPr>
        <w:t>C</w:t>
      </w:r>
      <w:r w:rsidR="008A71EA" w:rsidRPr="001221E6">
        <w:rPr>
          <w:b/>
        </w:rPr>
        <w:t>.</w:t>
      </w:r>
      <w:r w:rsidR="008A71EA" w:rsidRPr="001221E6">
        <w:rPr>
          <w:b/>
        </w:rPr>
        <w:tab/>
      </w:r>
      <w:r w:rsidR="00DC3EB8" w:rsidRPr="001221E6">
        <w:rPr>
          <w:b/>
        </w:rPr>
        <w:t xml:space="preserve">ZÁSADNÍ </w:t>
      </w:r>
      <w:r w:rsidR="004D5CCD" w:rsidRPr="001221E6">
        <w:rPr>
          <w:b/>
        </w:rPr>
        <w:t>KONKRÉTNÍ PŘIPOMÍNK</w:t>
      </w:r>
      <w:r w:rsidR="0032279B" w:rsidRPr="001221E6">
        <w:rPr>
          <w:b/>
        </w:rPr>
        <w:t>Y</w:t>
      </w:r>
    </w:p>
    <w:p w:rsidR="0099545D" w:rsidRPr="001221E6" w:rsidRDefault="0099545D" w:rsidP="0099545D">
      <w:pPr>
        <w:pStyle w:val="Odstavecseseznamem"/>
        <w:tabs>
          <w:tab w:val="left" w:pos="567"/>
        </w:tabs>
        <w:spacing w:after="0" w:line="240" w:lineRule="auto"/>
        <w:ind w:left="0"/>
        <w:contextualSpacing w:val="0"/>
        <w:jc w:val="both"/>
      </w:pPr>
    </w:p>
    <w:p w:rsidR="0099545D" w:rsidRPr="007742B4" w:rsidRDefault="0099545D" w:rsidP="0099545D">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7742B4">
        <w:rPr>
          <w:b/>
        </w:rPr>
        <w:t xml:space="preserve">Připomínka k § </w:t>
      </w:r>
      <w:r w:rsidR="00F66369" w:rsidRPr="007742B4">
        <w:rPr>
          <w:b/>
        </w:rPr>
        <w:t>3</w:t>
      </w:r>
      <w:r w:rsidRPr="007742B4">
        <w:rPr>
          <w:b/>
        </w:rPr>
        <w:t xml:space="preserve"> odst. </w:t>
      </w:r>
      <w:r w:rsidR="00F66369" w:rsidRPr="007742B4">
        <w:rPr>
          <w:b/>
        </w:rPr>
        <w:t>3</w:t>
      </w:r>
    </w:p>
    <w:p w:rsidR="001B266B" w:rsidRPr="007742B4" w:rsidRDefault="00B74683" w:rsidP="0099545D">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7742B4">
        <w:rPr>
          <w:b/>
        </w:rPr>
        <w:t>Návrh:</w:t>
      </w:r>
    </w:p>
    <w:p w:rsidR="00DB0B10" w:rsidRPr="007742B4" w:rsidRDefault="00AD75A4" w:rsidP="0099545D">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7742B4">
        <w:t>Odstavec 3 navrhujeme upravit takto:</w:t>
      </w:r>
    </w:p>
    <w:p w:rsidR="00AD75A4" w:rsidRPr="007742B4" w:rsidRDefault="00AD75A4" w:rsidP="0099545D">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u w:val="single"/>
        </w:rPr>
      </w:pPr>
      <w:r w:rsidRPr="007742B4">
        <w:rPr>
          <w:u w:val="single"/>
        </w:rPr>
        <w:t>Úplné znění:</w:t>
      </w:r>
    </w:p>
    <w:p w:rsidR="00AD75A4" w:rsidRPr="007742B4" w:rsidRDefault="00AD75A4" w:rsidP="0099545D">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7742B4">
        <w:rPr>
          <w:u w:val="single"/>
        </w:rPr>
        <w:t>„</w:t>
      </w:r>
      <w:r w:rsidRPr="007742B4">
        <w:t xml:space="preserve">Doklady prokazující provedení </w:t>
      </w:r>
      <w:r w:rsidRPr="007742B4">
        <w:rPr>
          <w:b/>
        </w:rPr>
        <w:t>pravidelné nebo provozní revize</w:t>
      </w:r>
      <w:r w:rsidRPr="007742B4">
        <w:t xml:space="preserve">, odborné prohlídky nebo zkoušky podle </w:t>
      </w:r>
      <w:hyperlink r:id="rId8" w:history="1">
        <w:r w:rsidRPr="007742B4">
          <w:t>odstavce 1</w:t>
        </w:r>
      </w:hyperlink>
      <w:r w:rsidRPr="007742B4">
        <w:t xml:space="preserve"> nebo znalecký posudek podle </w:t>
      </w:r>
      <w:hyperlink r:id="rId9" w:history="1">
        <w:r w:rsidRPr="007742B4">
          <w:t>odstavce 2</w:t>
        </w:r>
      </w:hyperlink>
      <w:r w:rsidRPr="007742B4">
        <w:t xml:space="preserve"> nesmějí být ke dni, ke kterému jsou předkládány Úřadu, starší 6 měsíců, pokud zvláštní právní předpis nebo technická norma nestanoví pro jejich provedení </w:t>
      </w:r>
      <w:r w:rsidR="00885406" w:rsidRPr="007742B4">
        <w:rPr>
          <w:strike/>
        </w:rPr>
        <w:t xml:space="preserve">jinou </w:t>
      </w:r>
      <w:r w:rsidRPr="007742B4">
        <w:t xml:space="preserve">lhůtu </w:t>
      </w:r>
      <w:r w:rsidRPr="007742B4">
        <w:rPr>
          <w:b/>
        </w:rPr>
        <w:t>delší</w:t>
      </w:r>
      <w:r w:rsidRPr="007742B4">
        <w:t>.</w:t>
      </w:r>
      <w:r w:rsidR="00885406" w:rsidRPr="007742B4">
        <w:t>“</w:t>
      </w:r>
    </w:p>
    <w:p w:rsidR="00885406" w:rsidRPr="007742B4" w:rsidRDefault="00885406" w:rsidP="0099545D">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u w:val="single"/>
        </w:rPr>
      </w:pPr>
    </w:p>
    <w:p w:rsidR="0099545D" w:rsidRPr="007742B4" w:rsidRDefault="0099545D" w:rsidP="0099545D">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7742B4">
        <w:rPr>
          <w:b/>
        </w:rPr>
        <w:t>Odůvodnění:</w:t>
      </w:r>
    </w:p>
    <w:p w:rsidR="00850B7A" w:rsidRPr="007742B4" w:rsidRDefault="00415CA8" w:rsidP="0099545D">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7742B4">
        <w:t xml:space="preserve">Podmínka, že doklad podle odstavce 1 nebo 2 nesmí být ke dni, ke kterému jsou předkládány Úřadu, starší 6 měsíců se nemůže týkat výchozí revize, která se provádí po dokončení stavby </w:t>
      </w:r>
      <w:r w:rsidR="004A53A9" w:rsidRPr="007742B4">
        <w:t xml:space="preserve">energetického zařízení </w:t>
      </w:r>
      <w:r w:rsidRPr="007742B4">
        <w:t>před</w:t>
      </w:r>
      <w:r w:rsidR="004A53A9" w:rsidRPr="007742B4">
        <w:t xml:space="preserve"> jeho</w:t>
      </w:r>
      <w:r w:rsidRPr="007742B4">
        <w:t xml:space="preserve"> uvedením do provozu a nelze ji následně opakovaně provést na rozdíl od pravidelné nebo provozní r</w:t>
      </w:r>
      <w:r w:rsidR="004A53A9" w:rsidRPr="007742B4">
        <w:t>evize. Proto je nutné upřesnit, že z revizí se tato podmínka týká pouze pravidelné nebo provozní revize.</w:t>
      </w:r>
    </w:p>
    <w:p w:rsidR="004A53A9" w:rsidRPr="007742B4" w:rsidRDefault="004A53A9" w:rsidP="0099545D">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7742B4">
        <w:t xml:space="preserve">Jestliže je stanovena podmínka, že doklady předkládané Úřadu nesmí být starší 6. měsíců, pak </w:t>
      </w:r>
      <w:r w:rsidR="00076948" w:rsidRPr="007742B4">
        <w:t>výjimka z této podmínky by měla být vázána nikoliv na jinou lhůtu ale na lhůtu delší</w:t>
      </w:r>
      <w:r w:rsidR="00333A11" w:rsidRPr="007742B4">
        <w:t>,</w:t>
      </w:r>
      <w:r w:rsidR="00076948" w:rsidRPr="007742B4">
        <w:t xml:space="preserve"> pokud tak stanoví zvláštní právní předpis nebo technická norma.</w:t>
      </w:r>
    </w:p>
    <w:p w:rsidR="006E0563" w:rsidRPr="007742B4" w:rsidRDefault="006E0563" w:rsidP="0099545D">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1B266B" w:rsidRPr="007742B4" w:rsidRDefault="001B266B" w:rsidP="0099545D">
      <w:pPr>
        <w:pStyle w:val="Odstavecseseznamem"/>
        <w:tabs>
          <w:tab w:val="left" w:pos="567"/>
        </w:tabs>
        <w:spacing w:after="0" w:line="240" w:lineRule="auto"/>
        <w:ind w:left="0"/>
        <w:contextualSpacing w:val="0"/>
        <w:jc w:val="both"/>
      </w:pPr>
    </w:p>
    <w:p w:rsidR="00850B7A" w:rsidRPr="007742B4" w:rsidRDefault="00850B7A" w:rsidP="00850B7A">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7742B4">
        <w:rPr>
          <w:b/>
        </w:rPr>
        <w:t xml:space="preserve">Připomínka k § </w:t>
      </w:r>
      <w:r w:rsidR="00076948" w:rsidRPr="007742B4">
        <w:rPr>
          <w:b/>
        </w:rPr>
        <w:t>3</w:t>
      </w:r>
      <w:r w:rsidRPr="007742B4">
        <w:rPr>
          <w:b/>
        </w:rPr>
        <w:t xml:space="preserve"> odst. </w:t>
      </w:r>
      <w:r w:rsidR="00076948" w:rsidRPr="007742B4">
        <w:rPr>
          <w:b/>
        </w:rPr>
        <w:t>5</w:t>
      </w:r>
      <w:r w:rsidRPr="007742B4">
        <w:rPr>
          <w:b/>
        </w:rPr>
        <w:t xml:space="preserve"> písm. </w:t>
      </w:r>
      <w:r w:rsidR="00076948" w:rsidRPr="007742B4">
        <w:rPr>
          <w:b/>
        </w:rPr>
        <w:t>d</w:t>
      </w:r>
      <w:r w:rsidRPr="007742B4">
        <w:rPr>
          <w:b/>
        </w:rPr>
        <w:t>)</w:t>
      </w:r>
      <w:r w:rsidR="00076948" w:rsidRPr="007742B4">
        <w:rPr>
          <w:b/>
        </w:rPr>
        <w:t xml:space="preserve"> bod 1</w:t>
      </w:r>
    </w:p>
    <w:p w:rsidR="00850B7A" w:rsidRPr="007742B4" w:rsidRDefault="00850B7A" w:rsidP="00850B7A">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7742B4">
        <w:rPr>
          <w:b/>
        </w:rPr>
        <w:t>Návrh:</w:t>
      </w:r>
    </w:p>
    <w:p w:rsidR="00850B7A" w:rsidRPr="007742B4" w:rsidRDefault="00B406F3" w:rsidP="00850B7A">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7742B4">
        <w:t>Bod 1. navrhujeme upravit dle následujícího:</w:t>
      </w:r>
    </w:p>
    <w:p w:rsidR="00B406F3" w:rsidRPr="007742B4" w:rsidRDefault="00B406F3" w:rsidP="00B406F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u w:val="single"/>
        </w:rPr>
      </w:pPr>
      <w:r w:rsidRPr="007742B4">
        <w:rPr>
          <w:u w:val="single"/>
        </w:rPr>
        <w:t>Úplné znění:</w:t>
      </w:r>
    </w:p>
    <w:p w:rsidR="00B406F3" w:rsidRPr="007742B4" w:rsidRDefault="00B406F3" w:rsidP="00850B7A">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7742B4">
        <w:t xml:space="preserve">„1. územním rozhodnutím, </w:t>
      </w:r>
      <w:r w:rsidRPr="007742B4">
        <w:rPr>
          <w:b/>
        </w:rPr>
        <w:t xml:space="preserve">pokud se jedná o stavbu nebo zařízení, které nevyžadují stavební povolení ani ohlášení, </w:t>
      </w:r>
      <w:r w:rsidRPr="007742B4">
        <w:rPr>
          <w:strike/>
        </w:rPr>
        <w:t>pokud v něm stavební úřad stanovil, že k provedení stavby nebo zařízení nebude vyžadovat ohlášení anebo stavební povolení,</w:t>
      </w:r>
    </w:p>
    <w:p w:rsidR="00850B7A" w:rsidRPr="007742B4" w:rsidRDefault="00850B7A" w:rsidP="00850B7A">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850B7A" w:rsidRPr="007742B4" w:rsidRDefault="00850B7A" w:rsidP="00850B7A">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7742B4">
        <w:rPr>
          <w:b/>
        </w:rPr>
        <w:lastRenderedPageBreak/>
        <w:t>Odůvodnění:</w:t>
      </w:r>
    </w:p>
    <w:p w:rsidR="00E96253" w:rsidRPr="007742B4" w:rsidRDefault="00B406F3" w:rsidP="00850B7A">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7742B4">
        <w:t xml:space="preserve">Předložené znění tohoto bodu je v rozporu s platným zněním zákona č. 163/2006 Sb. </w:t>
      </w:r>
      <w:r w:rsidR="00DF37AA" w:rsidRPr="007742B4">
        <w:t xml:space="preserve">(stavební zákon), protože </w:t>
      </w:r>
      <w:r w:rsidR="00061102" w:rsidRPr="007742B4">
        <w:t>dle § 103 odst. 2 písmeno e) bod 5.</w:t>
      </w:r>
      <w:r w:rsidR="00FF2990" w:rsidRPr="007742B4">
        <w:t xml:space="preserve"> – </w:t>
      </w:r>
      <w:r w:rsidR="00061102" w:rsidRPr="007742B4">
        <w:t>7</w:t>
      </w:r>
      <w:r w:rsidR="00FF2990" w:rsidRPr="007742B4">
        <w:t>,</w:t>
      </w:r>
      <w:r w:rsidR="00061102" w:rsidRPr="007742B4">
        <w:t xml:space="preserve"> </w:t>
      </w:r>
      <w:r w:rsidR="00DF37AA" w:rsidRPr="007742B4">
        <w:t xml:space="preserve">stavby </w:t>
      </w:r>
      <w:r w:rsidR="00061102" w:rsidRPr="007742B4">
        <w:t>vedení přenosové nebo distribuční soustavy elektřiny, přepravní nebo distribuční soustavy plynu a rozvody tepelné energie s výjimkou budov nevyžadují stavební povolení ani ohlášení. Výše uvedený návrh toto napravuje.</w:t>
      </w:r>
    </w:p>
    <w:p w:rsidR="00850B7A" w:rsidRPr="007742B4" w:rsidRDefault="00850B7A" w:rsidP="00850B7A">
      <w:pPr>
        <w:pStyle w:val="Odstavecseseznamem"/>
        <w:tabs>
          <w:tab w:val="left" w:pos="567"/>
        </w:tabs>
        <w:spacing w:after="0" w:line="240" w:lineRule="auto"/>
        <w:ind w:left="0"/>
        <w:contextualSpacing w:val="0"/>
        <w:jc w:val="both"/>
      </w:pPr>
    </w:p>
    <w:p w:rsidR="00FF2990" w:rsidRPr="007742B4" w:rsidRDefault="00FF2990" w:rsidP="00FF2990">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7742B4">
        <w:rPr>
          <w:b/>
        </w:rPr>
        <w:t>Připomínka k § 3 odst. 6</w:t>
      </w:r>
    </w:p>
    <w:p w:rsidR="00FF2990" w:rsidRPr="007742B4" w:rsidRDefault="00FF2990" w:rsidP="00FF2990">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7742B4">
        <w:rPr>
          <w:b/>
        </w:rPr>
        <w:t>Návrh:</w:t>
      </w:r>
    </w:p>
    <w:p w:rsidR="00FF2990" w:rsidRPr="007742B4" w:rsidRDefault="00FF2990" w:rsidP="00165764">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165764" w:rsidRPr="007742B4" w:rsidRDefault="00061102" w:rsidP="00165764">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7742B4">
        <w:t>Odstavec 6. navrhujeme upravit takto:</w:t>
      </w:r>
    </w:p>
    <w:p w:rsidR="00165764" w:rsidRPr="007742B4" w:rsidRDefault="000D4DF8" w:rsidP="00165764">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u w:val="single"/>
        </w:rPr>
      </w:pPr>
      <w:r w:rsidRPr="007742B4">
        <w:rPr>
          <w:u w:val="single"/>
        </w:rPr>
        <w:t>Úplné</w:t>
      </w:r>
      <w:r w:rsidR="00165764" w:rsidRPr="007742B4">
        <w:rPr>
          <w:u w:val="single"/>
        </w:rPr>
        <w:t xml:space="preserve"> znění odstavce </w:t>
      </w:r>
      <w:r w:rsidR="00061102" w:rsidRPr="007742B4">
        <w:rPr>
          <w:u w:val="single"/>
        </w:rPr>
        <w:t>6</w:t>
      </w:r>
      <w:r w:rsidR="00165764" w:rsidRPr="007742B4">
        <w:rPr>
          <w:u w:val="single"/>
        </w:rPr>
        <w:t>:</w:t>
      </w:r>
    </w:p>
    <w:p w:rsidR="00165764" w:rsidRPr="007742B4" w:rsidRDefault="00165764" w:rsidP="00165764">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7742B4">
        <w:t>„</w:t>
      </w:r>
      <w:r w:rsidR="00AE60BF" w:rsidRPr="007742B4">
        <w:t xml:space="preserve">(6) V řízení o změně rozhodnutí o udělení licence zahájeném na základě oznámení souhrnných změn energetických zařízení podle § 9 odst. 1 věty třetí energetického </w:t>
      </w:r>
      <w:proofErr w:type="spellStart"/>
      <w:r w:rsidR="00AE60BF" w:rsidRPr="007742B4">
        <w:t>zákona</w:t>
      </w:r>
      <w:r w:rsidR="00AE60BF" w:rsidRPr="007742B4">
        <w:rPr>
          <w:vertAlign w:val="superscript"/>
        </w:rPr>
        <w:t>1</w:t>
      </w:r>
      <w:proofErr w:type="spellEnd"/>
      <w:r w:rsidR="00AE60BF" w:rsidRPr="007742B4">
        <w:rPr>
          <w:vertAlign w:val="superscript"/>
        </w:rPr>
        <w:t>)</w:t>
      </w:r>
      <w:r w:rsidR="00AE60BF" w:rsidRPr="007742B4">
        <w:t xml:space="preserve"> </w:t>
      </w:r>
      <w:r w:rsidR="00AE60BF" w:rsidRPr="007742B4">
        <w:rPr>
          <w:b/>
        </w:rPr>
        <w:t>se splnění technických předpokladů neprokazuje</w:t>
      </w:r>
      <w:r w:rsidR="00AE60BF" w:rsidRPr="007742B4">
        <w:t xml:space="preserve">. </w:t>
      </w:r>
      <w:proofErr w:type="gramStart"/>
      <w:r w:rsidR="00AE60BF" w:rsidRPr="007742B4">
        <w:rPr>
          <w:strike/>
        </w:rPr>
        <w:t>lze</w:t>
      </w:r>
      <w:proofErr w:type="gramEnd"/>
      <w:r w:rsidR="00AE60BF" w:rsidRPr="007742B4">
        <w:rPr>
          <w:strike/>
        </w:rPr>
        <w:t xml:space="preserve"> doložit splnění technických předpokladů čestným prohlášením</w:t>
      </w:r>
      <w:r w:rsidR="000D4DF8" w:rsidRPr="007742B4">
        <w:rPr>
          <w:strike/>
        </w:rPr>
        <w:t>.</w:t>
      </w:r>
      <w:r w:rsidR="000D4DF8" w:rsidRPr="007742B4">
        <w:t>“</w:t>
      </w:r>
    </w:p>
    <w:p w:rsidR="000D4DF8" w:rsidRPr="007742B4" w:rsidRDefault="000D4DF8" w:rsidP="00165764">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165764" w:rsidRPr="007742B4" w:rsidRDefault="00165764" w:rsidP="00165764">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7742B4">
        <w:rPr>
          <w:b/>
        </w:rPr>
        <w:t>Odůvodnění:</w:t>
      </w:r>
    </w:p>
    <w:p w:rsidR="00165764" w:rsidRPr="007742B4" w:rsidRDefault="0035681E" w:rsidP="00165764">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7742B4">
        <w:t xml:space="preserve">Druhá věta odstavce 1 § 9 energetického zákona jednoznačně stanoví, že povinnost předložit doklady se nevtahuje na nová energetická zařízení provozovatele přenosové soustavy, provozovatele přepravní soustavy, provozovatele distribuční soustavy a držitele licence na rozvod tepelné energie, která byla vybudována v rámci území, na nichž je příslušný provozovatel energetického zařízení držitelem odpovídající licence. Ve výše uvedeném odstavci energetického zákona není uvedeno, že by se splnění technických předpokladů mělo dokládat čestným prohlášením, takže předložený návrh odstavce 6 ukládá povinnost nad rámec ustanovení energetického zákona účinného od </w:t>
      </w:r>
      <w:proofErr w:type="gramStart"/>
      <w:r w:rsidRPr="007742B4">
        <w:t>1.1.2016</w:t>
      </w:r>
      <w:proofErr w:type="gramEnd"/>
      <w:r w:rsidRPr="007742B4">
        <w:t xml:space="preserve">. Náš návrh </w:t>
      </w:r>
      <w:r w:rsidR="00506AB3" w:rsidRPr="007742B4">
        <w:t>toto napravuje.</w:t>
      </w:r>
      <w:r w:rsidRPr="007742B4">
        <w:t xml:space="preserve"> </w:t>
      </w:r>
    </w:p>
    <w:p w:rsidR="00A62BC8" w:rsidRPr="007742B4" w:rsidRDefault="00A62BC8" w:rsidP="00850B7A">
      <w:pPr>
        <w:pStyle w:val="Odstavecseseznamem"/>
        <w:tabs>
          <w:tab w:val="left" w:pos="567"/>
        </w:tabs>
        <w:spacing w:after="0" w:line="240" w:lineRule="auto"/>
        <w:ind w:left="0"/>
        <w:contextualSpacing w:val="0"/>
        <w:jc w:val="both"/>
      </w:pPr>
    </w:p>
    <w:p w:rsidR="00A62BC8" w:rsidRPr="007742B4" w:rsidRDefault="00A62BC8" w:rsidP="00A62BC8">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7742B4">
        <w:rPr>
          <w:b/>
        </w:rPr>
        <w:t xml:space="preserve">Připomínka k § </w:t>
      </w:r>
      <w:r w:rsidR="00506AB3" w:rsidRPr="007742B4">
        <w:rPr>
          <w:b/>
        </w:rPr>
        <w:t>5 odst. 2 písm. a)</w:t>
      </w:r>
    </w:p>
    <w:p w:rsidR="00A62BC8" w:rsidRPr="007742B4" w:rsidRDefault="00A62BC8" w:rsidP="00A62BC8">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7742B4">
        <w:rPr>
          <w:b/>
        </w:rPr>
        <w:t>Návrh:</w:t>
      </w:r>
    </w:p>
    <w:p w:rsidR="00A62BC8" w:rsidRPr="007742B4" w:rsidRDefault="00506AB3" w:rsidP="00A62BC8">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7742B4">
        <w:t>Písmeno a) navrhujeme upravit dle následujícího:</w:t>
      </w:r>
    </w:p>
    <w:p w:rsidR="00506AB3" w:rsidRPr="007742B4" w:rsidRDefault="00506AB3" w:rsidP="00A62BC8">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cs="Arial"/>
          <w:bCs/>
          <w:u w:val="single"/>
        </w:rPr>
      </w:pPr>
      <w:r w:rsidRPr="007742B4">
        <w:rPr>
          <w:u w:val="single"/>
        </w:rPr>
        <w:t>Úplné znění písmene a):</w:t>
      </w:r>
    </w:p>
    <w:p w:rsidR="00A62BC8" w:rsidRPr="007742B4" w:rsidRDefault="00506AB3" w:rsidP="00A62BC8">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7742B4">
        <w:t xml:space="preserve">„a) výpisem z katastru nemovitostí, vyplývá-li právo užívat nemovitost ze </w:t>
      </w:r>
      <w:r w:rsidRPr="007742B4">
        <w:rPr>
          <w:b/>
        </w:rPr>
        <w:t>zápisu</w:t>
      </w:r>
      <w:r w:rsidR="00AC54FF" w:rsidRPr="007742B4">
        <w:t xml:space="preserve"> </w:t>
      </w:r>
      <w:r w:rsidR="00AC54FF" w:rsidRPr="007742B4">
        <w:rPr>
          <w:b/>
        </w:rPr>
        <w:t xml:space="preserve">v </w:t>
      </w:r>
      <w:r w:rsidRPr="007742B4">
        <w:rPr>
          <w:strike/>
        </w:rPr>
        <w:t>služebnosti zapisované do</w:t>
      </w:r>
      <w:r w:rsidRPr="007742B4">
        <w:t xml:space="preserve"> katastru nemovitostí podle jiného právního předpisu, odpovídající stavu zápisů v katastru nemovitostí ke dni předložení výpisu Úřadu, „</w:t>
      </w:r>
    </w:p>
    <w:p w:rsidR="00A62BC8" w:rsidRPr="007742B4" w:rsidRDefault="00A62BC8" w:rsidP="00A62BC8">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7742B4">
        <w:rPr>
          <w:b/>
        </w:rPr>
        <w:t>Odůvodnění:</w:t>
      </w:r>
    </w:p>
    <w:p w:rsidR="00A62BC8" w:rsidRPr="007742B4" w:rsidRDefault="00506AB3" w:rsidP="00A62BC8">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7742B4">
        <w:t xml:space="preserve">Právo užívat nemovitost nemusí vyplývat pouze ze služebnosti zapisované do katastru nemovitostí ale </w:t>
      </w:r>
      <w:r w:rsidR="009C426E" w:rsidRPr="007742B4">
        <w:t xml:space="preserve">podle </w:t>
      </w:r>
      <w:r w:rsidR="00AC54FF" w:rsidRPr="007742B4">
        <w:t>§ 11 odst. 1 zákona č. 265/2013 Sb. se do katastru nemovitostí zapisuje celá řada dalších práv jako například nájem, pacht právo stavby atd. Proto je navržena výše uvedená úprava.</w:t>
      </w:r>
      <w:bookmarkStart w:id="0" w:name="_GoBack"/>
      <w:bookmarkEnd w:id="0"/>
    </w:p>
    <w:p w:rsidR="00A62BC8" w:rsidRPr="007742B4" w:rsidRDefault="00A62BC8" w:rsidP="00850B7A">
      <w:pPr>
        <w:pStyle w:val="Odstavecseseznamem"/>
        <w:tabs>
          <w:tab w:val="left" w:pos="567"/>
        </w:tabs>
        <w:spacing w:after="0" w:line="240" w:lineRule="auto"/>
        <w:ind w:left="0"/>
        <w:contextualSpacing w:val="0"/>
        <w:jc w:val="both"/>
      </w:pPr>
    </w:p>
    <w:p w:rsidR="00274C02" w:rsidRPr="007742B4" w:rsidRDefault="00274C02" w:rsidP="00274C02">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7742B4">
        <w:rPr>
          <w:b/>
        </w:rPr>
        <w:t xml:space="preserve">Připomínka k § </w:t>
      </w:r>
      <w:r w:rsidR="006D693F" w:rsidRPr="007742B4">
        <w:rPr>
          <w:b/>
        </w:rPr>
        <w:t>5</w:t>
      </w:r>
      <w:r w:rsidRPr="007742B4">
        <w:rPr>
          <w:b/>
        </w:rPr>
        <w:t xml:space="preserve"> odst. </w:t>
      </w:r>
      <w:r w:rsidR="006D693F" w:rsidRPr="007742B4">
        <w:rPr>
          <w:b/>
        </w:rPr>
        <w:t>5</w:t>
      </w:r>
    </w:p>
    <w:p w:rsidR="00274C02" w:rsidRPr="007742B4" w:rsidRDefault="00274C02" w:rsidP="00274C02">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7742B4">
        <w:rPr>
          <w:b/>
        </w:rPr>
        <w:t>Návrh:</w:t>
      </w:r>
    </w:p>
    <w:p w:rsidR="006D693F" w:rsidRPr="007742B4" w:rsidRDefault="006D693F" w:rsidP="006D693F">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7742B4">
        <w:t>Odstavec 5. navrhujeme upravit takto:</w:t>
      </w:r>
    </w:p>
    <w:p w:rsidR="006D693F" w:rsidRPr="007742B4" w:rsidRDefault="006D693F" w:rsidP="006D693F">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u w:val="single"/>
        </w:rPr>
      </w:pPr>
      <w:r w:rsidRPr="007742B4">
        <w:rPr>
          <w:u w:val="single"/>
        </w:rPr>
        <w:t>Úplné znění odstavce 5:</w:t>
      </w:r>
    </w:p>
    <w:p w:rsidR="00274C02" w:rsidRPr="007742B4" w:rsidRDefault="006D693F" w:rsidP="00274C02">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7742B4">
        <w:t xml:space="preserve">„(5) V řízení o změně rozhodnutí o udělení licence zahájeném na základě oznámení souhrnných změn energetických zařízení podle § 9 odst. 1 věty třetí energetického </w:t>
      </w:r>
      <w:proofErr w:type="spellStart"/>
      <w:r w:rsidRPr="007742B4">
        <w:t>zákona1</w:t>
      </w:r>
      <w:proofErr w:type="spellEnd"/>
      <w:r w:rsidRPr="007742B4">
        <w:t xml:space="preserve">) </w:t>
      </w:r>
      <w:r w:rsidRPr="007742B4">
        <w:rPr>
          <w:b/>
        </w:rPr>
        <w:t xml:space="preserve">se vlastnické nebo užívací právo k nově vybudovaným nebo získaným energetickým zařízením neprokazuje. </w:t>
      </w:r>
      <w:proofErr w:type="gramStart"/>
      <w:r w:rsidRPr="007742B4">
        <w:rPr>
          <w:strike/>
        </w:rPr>
        <w:t>lze</w:t>
      </w:r>
      <w:proofErr w:type="gramEnd"/>
      <w:r w:rsidRPr="007742B4">
        <w:rPr>
          <w:strike/>
        </w:rPr>
        <w:t xml:space="preserve"> doložit vlastnické nebo užívací právo k nově vybudovaným nebo získaným energetickým zařízením čestným prohlášením.</w:t>
      </w:r>
      <w:r w:rsidRPr="007742B4">
        <w:rPr>
          <w:rFonts w:ascii="Times New Roman" w:hAnsi="Times New Roman"/>
        </w:rPr>
        <w:t>“</w:t>
      </w:r>
    </w:p>
    <w:p w:rsidR="00274C02" w:rsidRPr="007742B4" w:rsidRDefault="00274C02" w:rsidP="00274C02">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7742B4">
        <w:rPr>
          <w:b/>
        </w:rPr>
        <w:t>Odůvodnění:</w:t>
      </w:r>
    </w:p>
    <w:p w:rsidR="00274C02" w:rsidRPr="007742B4" w:rsidRDefault="006D693F" w:rsidP="00274C02">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7742B4">
        <w:t xml:space="preserve">Druhá věta odstavce 1 § 9 energetického zákona jednoznačně stanoví, že povinnost předložit doklady se nevtahuje na nová energetická zařízení provozovatele přenosové soustavy, provozovatele přepravní soustavy, provozovatele distribuční soustavy a držitele licence na rozvod tepelné energie, která byla vybudována v rámci území, na nichž je příslušný provozovatel </w:t>
      </w:r>
      <w:r w:rsidRPr="007742B4">
        <w:lastRenderedPageBreak/>
        <w:t>energetického zařízení držitelem odpovídající licence. Ve výše uvedeném odstavci energetického zákona není uvedeno, že by se vlastnické nebo užívací právo mělo dokládat čestným prohlášením, takže předložený návrh odstavce 5 ukládá povinnost nad rámec ustanovení energetického zákona účinného od 1.</w:t>
      </w:r>
      <w:r w:rsidR="00FF2990" w:rsidRPr="007742B4">
        <w:t xml:space="preserve"> </w:t>
      </w:r>
      <w:r w:rsidRPr="007742B4">
        <w:t>1.</w:t>
      </w:r>
      <w:r w:rsidR="00FF2990" w:rsidRPr="007742B4">
        <w:t xml:space="preserve"> </w:t>
      </w:r>
      <w:r w:rsidRPr="007742B4">
        <w:t>2016. Náš návrh toto napravuje</w:t>
      </w:r>
      <w:r w:rsidR="00325E40" w:rsidRPr="007742B4">
        <w:t>.</w:t>
      </w:r>
    </w:p>
    <w:p w:rsidR="00A62BC8" w:rsidRPr="007742B4" w:rsidRDefault="00A62BC8" w:rsidP="00850B7A">
      <w:pPr>
        <w:pStyle w:val="Odstavecseseznamem"/>
        <w:tabs>
          <w:tab w:val="left" w:pos="567"/>
        </w:tabs>
        <w:spacing w:after="0" w:line="240" w:lineRule="auto"/>
        <w:ind w:left="0"/>
        <w:contextualSpacing w:val="0"/>
        <w:jc w:val="both"/>
      </w:pPr>
    </w:p>
    <w:p w:rsidR="00325E40" w:rsidRPr="007742B4" w:rsidRDefault="00325E40" w:rsidP="00325E40">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7742B4">
        <w:rPr>
          <w:b/>
        </w:rPr>
        <w:t xml:space="preserve">Připomínka k § </w:t>
      </w:r>
      <w:r w:rsidR="004249D2" w:rsidRPr="007742B4">
        <w:rPr>
          <w:b/>
        </w:rPr>
        <w:t>6</w:t>
      </w:r>
      <w:r w:rsidRPr="007742B4">
        <w:rPr>
          <w:b/>
        </w:rPr>
        <w:t xml:space="preserve"> </w:t>
      </w:r>
      <w:r w:rsidR="00AB0E2E" w:rsidRPr="007742B4">
        <w:rPr>
          <w:b/>
        </w:rPr>
        <w:t>písmeno b) a c)</w:t>
      </w:r>
    </w:p>
    <w:p w:rsidR="00325E40" w:rsidRPr="007742B4" w:rsidRDefault="00325E40" w:rsidP="00325E40">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7742B4">
        <w:rPr>
          <w:b/>
        </w:rPr>
        <w:t>Návrh:</w:t>
      </w:r>
    </w:p>
    <w:p w:rsidR="00325E40" w:rsidRPr="007742B4" w:rsidRDefault="00927EA5" w:rsidP="00325E40">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7742B4">
        <w:t xml:space="preserve">Sloučit </w:t>
      </w:r>
      <w:r w:rsidR="00AB0E2E" w:rsidRPr="007742B4">
        <w:t>písmena b) a c)</w:t>
      </w:r>
      <w:r w:rsidRPr="007742B4">
        <w:t xml:space="preserve"> s tím, že </w:t>
      </w:r>
      <w:r w:rsidR="00AB0E2E" w:rsidRPr="007742B4">
        <w:t>písmeno b)</w:t>
      </w:r>
      <w:r w:rsidRPr="007742B4">
        <w:t xml:space="preserve"> by měl</w:t>
      </w:r>
      <w:r w:rsidR="00AB0E2E" w:rsidRPr="007742B4">
        <w:t>o</w:t>
      </w:r>
      <w:r w:rsidRPr="007742B4">
        <w:t> následující znění</w:t>
      </w:r>
      <w:r w:rsidR="00CA54E5" w:rsidRPr="007742B4">
        <w:t xml:space="preserve"> a </w:t>
      </w:r>
      <w:r w:rsidR="00AB0E2E" w:rsidRPr="007742B4">
        <w:t>písmeno c)</w:t>
      </w:r>
      <w:r w:rsidR="00CA54E5" w:rsidRPr="007742B4">
        <w:t xml:space="preserve"> </w:t>
      </w:r>
      <w:r w:rsidR="00AB0E2E" w:rsidRPr="007742B4">
        <w:t xml:space="preserve">se </w:t>
      </w:r>
      <w:r w:rsidR="00CA54E5" w:rsidRPr="007742B4">
        <w:t>vyp</w:t>
      </w:r>
      <w:r w:rsidR="00AB0E2E" w:rsidRPr="007742B4">
        <w:t>ouští</w:t>
      </w:r>
      <w:r w:rsidR="00CA54E5" w:rsidRPr="007742B4">
        <w:t xml:space="preserve"> bez náhrady</w:t>
      </w:r>
      <w:r w:rsidR="00EB4D14" w:rsidRPr="007742B4">
        <w:t>:</w:t>
      </w:r>
    </w:p>
    <w:p w:rsidR="00EB4D14" w:rsidRPr="007742B4" w:rsidRDefault="00EB4D14" w:rsidP="00325E40">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7742B4">
        <w:t>„</w:t>
      </w:r>
      <w:r w:rsidR="00927EA5" w:rsidRPr="007742B4">
        <w:t xml:space="preserve">b) zákresem souvislého území, ve kterém má být činnost vykonávána, do katastrální mapy nebo její zvětšeniny s vyznačením parcelních čísel pozemků podle katastru nemovitostí, pokud nelze vymezené území určit způsobem podle předchozího písmene nebo to je z důvodu přehlednosti a zřejmosti účelnější, </w:t>
      </w:r>
      <w:r w:rsidR="00AC54FF" w:rsidRPr="007742B4">
        <w:rPr>
          <w:b/>
        </w:rPr>
        <w:t>a záro</w:t>
      </w:r>
      <w:r w:rsidR="00CA54E5" w:rsidRPr="007742B4">
        <w:rPr>
          <w:b/>
        </w:rPr>
        <w:t>veň seznamem parcelních čísel pozemků</w:t>
      </w:r>
      <w:r w:rsidR="00CA54E5" w:rsidRPr="007742B4">
        <w:t xml:space="preserve"> </w:t>
      </w:r>
      <w:r w:rsidR="00927EA5" w:rsidRPr="007742B4">
        <w:t>a zákresem umístění energetického zařízení do katastrální mapy</w:t>
      </w:r>
      <w:r w:rsidRPr="007742B4">
        <w:t>.“</w:t>
      </w:r>
    </w:p>
    <w:p w:rsidR="00EB4D14" w:rsidRPr="007742B4" w:rsidRDefault="00EB4D14" w:rsidP="00325E40">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cs="Arial"/>
          <w:b/>
          <w:color w:val="000000"/>
        </w:rPr>
      </w:pPr>
    </w:p>
    <w:p w:rsidR="00325E40" w:rsidRPr="007742B4" w:rsidRDefault="00325E40" w:rsidP="00325E40">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7742B4">
        <w:rPr>
          <w:b/>
        </w:rPr>
        <w:t>Odůvodnění:</w:t>
      </w:r>
    </w:p>
    <w:p w:rsidR="00325E40" w:rsidRPr="007742B4" w:rsidRDefault="00CA54E5" w:rsidP="00325E40">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7742B4">
        <w:t>Principiálně by se vymezené území mělo vyznačovat na základě celých katastrálních území a tam kde je zapotřebí licenci udělit na menší území pak na základě parcelních čísel pozemků podle katastru nemovitostí</w:t>
      </w:r>
      <w:r w:rsidR="00325E40" w:rsidRPr="007742B4">
        <w:t>.</w:t>
      </w:r>
      <w:r w:rsidRPr="007742B4">
        <w:t xml:space="preserve"> Vedle zákresu do katastrální mapy by měl být i seznam katastrálních území (</w:t>
      </w:r>
      <w:r w:rsidR="00AB0E2E" w:rsidRPr="007742B4">
        <w:t xml:space="preserve">což je v odstavci 1 zakotveno) </w:t>
      </w:r>
      <w:r w:rsidRPr="007742B4">
        <w:t xml:space="preserve">respektive </w:t>
      </w:r>
      <w:r w:rsidR="00AB0E2E" w:rsidRPr="007742B4">
        <w:t>seznam parcelních čísel. Seznam parcelních čísel, který je v předloženém znění požadován v písmenu c) naopak chybí v písmenu b). Proto lze znění písmene b) upravit podle našeho návrhu a písmeno c) vypustit.</w:t>
      </w:r>
    </w:p>
    <w:p w:rsidR="00850B7A" w:rsidRPr="007742B4" w:rsidRDefault="00850B7A" w:rsidP="0099545D">
      <w:pPr>
        <w:pStyle w:val="Odstavecseseznamem"/>
        <w:tabs>
          <w:tab w:val="left" w:pos="567"/>
        </w:tabs>
        <w:spacing w:after="0" w:line="240" w:lineRule="auto"/>
        <w:ind w:left="0"/>
        <w:contextualSpacing w:val="0"/>
        <w:jc w:val="both"/>
      </w:pPr>
    </w:p>
    <w:p w:rsidR="00BB224C" w:rsidRPr="007742B4" w:rsidRDefault="007211BC" w:rsidP="0099545D">
      <w:pPr>
        <w:pStyle w:val="Odstavecseseznamem"/>
        <w:tabs>
          <w:tab w:val="left" w:pos="567"/>
        </w:tabs>
        <w:spacing w:after="0" w:line="240" w:lineRule="auto"/>
        <w:ind w:left="0"/>
        <w:contextualSpacing w:val="0"/>
        <w:jc w:val="both"/>
      </w:pPr>
      <w:r w:rsidRPr="007742B4">
        <w:t>Praha 7. října 2015</w:t>
      </w:r>
    </w:p>
    <w:sectPr w:rsidR="00BB224C" w:rsidRPr="007742B4" w:rsidSect="00EF4F68">
      <w:headerReference w:type="default" r:id="rId10"/>
      <w:footerReference w:type="default" r:id="rId11"/>
      <w:headerReference w:type="first" r:id="rId12"/>
      <w:footerReference w:type="first" r:id="rId13"/>
      <w:pgSz w:w="11906" w:h="16838" w:code="9"/>
      <w:pgMar w:top="1985" w:right="1418" w:bottom="992" w:left="1418"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E1C" w:rsidRDefault="00161E1C" w:rsidP="008A71EA">
      <w:pPr>
        <w:spacing w:after="0" w:line="240" w:lineRule="auto"/>
      </w:pPr>
      <w:r>
        <w:separator/>
      </w:r>
    </w:p>
  </w:endnote>
  <w:endnote w:type="continuationSeparator" w:id="0">
    <w:p w:rsidR="00161E1C" w:rsidRDefault="00161E1C" w:rsidP="008A71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89576"/>
      <w:docPartObj>
        <w:docPartGallery w:val="Page Numbers (Bottom of Page)"/>
        <w:docPartUnique/>
      </w:docPartObj>
    </w:sdtPr>
    <w:sdtContent>
      <w:p w:rsidR="009C426E" w:rsidRDefault="005500DD">
        <w:pPr>
          <w:pStyle w:val="Zpat"/>
          <w:jc w:val="center"/>
        </w:pPr>
        <w:r>
          <w:fldChar w:fldCharType="begin"/>
        </w:r>
        <w:r w:rsidR="009C426E">
          <w:instrText xml:space="preserve"> PAGE   \* MERGEFORMAT </w:instrText>
        </w:r>
        <w:r>
          <w:fldChar w:fldCharType="separate"/>
        </w:r>
        <w:r w:rsidR="007742B4">
          <w:rPr>
            <w:noProof/>
          </w:rPr>
          <w:t>2</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26E" w:rsidRDefault="009C426E" w:rsidP="00A77BDA">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E1C" w:rsidRDefault="00161E1C" w:rsidP="008A71EA">
      <w:pPr>
        <w:spacing w:after="0" w:line="240" w:lineRule="auto"/>
      </w:pPr>
      <w:r>
        <w:separator/>
      </w:r>
    </w:p>
  </w:footnote>
  <w:footnote w:type="continuationSeparator" w:id="0">
    <w:p w:rsidR="00161E1C" w:rsidRDefault="00161E1C" w:rsidP="008A71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26E" w:rsidRDefault="009C426E" w:rsidP="008A71EA">
    <w:pPr>
      <w:pStyle w:val="Zhlav"/>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26E" w:rsidRDefault="009C426E" w:rsidP="00EF4F68">
    <w:pPr>
      <w:pStyle w:val="Zhlav"/>
      <w:jc w:val="center"/>
    </w:pPr>
    <w:r w:rsidRPr="00EF4F68">
      <w:rPr>
        <w:noProof/>
        <w:lang w:eastAsia="cs-CZ"/>
      </w:rPr>
      <w:drawing>
        <wp:inline distT="0" distB="0" distL="0" distR="0">
          <wp:extent cx="2695575" cy="695325"/>
          <wp:effectExtent l="19050" t="0" r="9525" b="0"/>
          <wp:docPr id="1"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94986" cy="69517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E150D"/>
    <w:multiLevelType w:val="hybridMultilevel"/>
    <w:tmpl w:val="1748A934"/>
    <w:lvl w:ilvl="0" w:tplc="AFA4C262">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BB2ABB"/>
    <w:multiLevelType w:val="hybridMultilevel"/>
    <w:tmpl w:val="FACABB22"/>
    <w:lvl w:ilvl="0" w:tplc="88DA91F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4F42B7"/>
    <w:multiLevelType w:val="hybridMultilevel"/>
    <w:tmpl w:val="80E2CB3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D6E155C"/>
    <w:multiLevelType w:val="hybridMultilevel"/>
    <w:tmpl w:val="1AA212C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C676731"/>
    <w:multiLevelType w:val="hybridMultilevel"/>
    <w:tmpl w:val="D2F0C802"/>
    <w:lvl w:ilvl="0" w:tplc="5E7C3FA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7E565D8"/>
    <w:multiLevelType w:val="hybridMultilevel"/>
    <w:tmpl w:val="5D70E5EE"/>
    <w:lvl w:ilvl="0" w:tplc="133670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rsids>
    <w:rsidRoot w:val="00030F5B"/>
    <w:rsid w:val="0000748C"/>
    <w:rsid w:val="00014188"/>
    <w:rsid w:val="0002368B"/>
    <w:rsid w:val="00025760"/>
    <w:rsid w:val="00030F5B"/>
    <w:rsid w:val="00045007"/>
    <w:rsid w:val="00057AB0"/>
    <w:rsid w:val="00061102"/>
    <w:rsid w:val="00076948"/>
    <w:rsid w:val="00085B92"/>
    <w:rsid w:val="000A22B9"/>
    <w:rsid w:val="000B1358"/>
    <w:rsid w:val="000B5F11"/>
    <w:rsid w:val="000D4DF8"/>
    <w:rsid w:val="000D5667"/>
    <w:rsid w:val="000E5BD7"/>
    <w:rsid w:val="001016C8"/>
    <w:rsid w:val="00102933"/>
    <w:rsid w:val="001109DD"/>
    <w:rsid w:val="001221E6"/>
    <w:rsid w:val="001400CE"/>
    <w:rsid w:val="00143C7A"/>
    <w:rsid w:val="00145425"/>
    <w:rsid w:val="0014700F"/>
    <w:rsid w:val="00161E1C"/>
    <w:rsid w:val="0016267E"/>
    <w:rsid w:val="001638BC"/>
    <w:rsid w:val="00165764"/>
    <w:rsid w:val="0017548D"/>
    <w:rsid w:val="00183C02"/>
    <w:rsid w:val="00193D68"/>
    <w:rsid w:val="001A4E19"/>
    <w:rsid w:val="001A5459"/>
    <w:rsid w:val="001B266B"/>
    <w:rsid w:val="001B5C83"/>
    <w:rsid w:val="001C5B62"/>
    <w:rsid w:val="001E18F7"/>
    <w:rsid w:val="001E276E"/>
    <w:rsid w:val="001E3DE7"/>
    <w:rsid w:val="001E5462"/>
    <w:rsid w:val="001F4636"/>
    <w:rsid w:val="00201A30"/>
    <w:rsid w:val="00223089"/>
    <w:rsid w:val="00241F59"/>
    <w:rsid w:val="002515A5"/>
    <w:rsid w:val="00260FC6"/>
    <w:rsid w:val="00263AFD"/>
    <w:rsid w:val="00265046"/>
    <w:rsid w:val="00274C02"/>
    <w:rsid w:val="00276473"/>
    <w:rsid w:val="00282BE5"/>
    <w:rsid w:val="00283BE8"/>
    <w:rsid w:val="00294493"/>
    <w:rsid w:val="002A2000"/>
    <w:rsid w:val="002B3746"/>
    <w:rsid w:val="002B5093"/>
    <w:rsid w:val="002B77CA"/>
    <w:rsid w:val="002C5185"/>
    <w:rsid w:val="002C57DD"/>
    <w:rsid w:val="002F2828"/>
    <w:rsid w:val="002F4734"/>
    <w:rsid w:val="002F792F"/>
    <w:rsid w:val="00302F26"/>
    <w:rsid w:val="00303377"/>
    <w:rsid w:val="003045D5"/>
    <w:rsid w:val="00314665"/>
    <w:rsid w:val="0031525C"/>
    <w:rsid w:val="00316A6B"/>
    <w:rsid w:val="0032279B"/>
    <w:rsid w:val="00324F39"/>
    <w:rsid w:val="00325E40"/>
    <w:rsid w:val="00333A11"/>
    <w:rsid w:val="00346CB3"/>
    <w:rsid w:val="00351768"/>
    <w:rsid w:val="0035681E"/>
    <w:rsid w:val="00376877"/>
    <w:rsid w:val="0038023F"/>
    <w:rsid w:val="00381EA0"/>
    <w:rsid w:val="00383044"/>
    <w:rsid w:val="00385822"/>
    <w:rsid w:val="003A2D75"/>
    <w:rsid w:val="003B1511"/>
    <w:rsid w:val="003C7E14"/>
    <w:rsid w:val="003D172E"/>
    <w:rsid w:val="003D2DAA"/>
    <w:rsid w:val="003E26AC"/>
    <w:rsid w:val="00402E21"/>
    <w:rsid w:val="00404F30"/>
    <w:rsid w:val="00415CA8"/>
    <w:rsid w:val="00417B0F"/>
    <w:rsid w:val="004238B4"/>
    <w:rsid w:val="004249D2"/>
    <w:rsid w:val="004325EC"/>
    <w:rsid w:val="00457528"/>
    <w:rsid w:val="0047349B"/>
    <w:rsid w:val="00475E3F"/>
    <w:rsid w:val="0048475A"/>
    <w:rsid w:val="00493533"/>
    <w:rsid w:val="00494C53"/>
    <w:rsid w:val="004A53A9"/>
    <w:rsid w:val="004B2CE5"/>
    <w:rsid w:val="004D5CCD"/>
    <w:rsid w:val="004F1002"/>
    <w:rsid w:val="00503560"/>
    <w:rsid w:val="00506AB3"/>
    <w:rsid w:val="0050702F"/>
    <w:rsid w:val="00520425"/>
    <w:rsid w:val="005210BB"/>
    <w:rsid w:val="00524DCE"/>
    <w:rsid w:val="00535CAD"/>
    <w:rsid w:val="00544135"/>
    <w:rsid w:val="005500DD"/>
    <w:rsid w:val="005518E2"/>
    <w:rsid w:val="00552556"/>
    <w:rsid w:val="00560910"/>
    <w:rsid w:val="00561947"/>
    <w:rsid w:val="00565008"/>
    <w:rsid w:val="005664DD"/>
    <w:rsid w:val="0057672A"/>
    <w:rsid w:val="005910E5"/>
    <w:rsid w:val="0059271A"/>
    <w:rsid w:val="00595359"/>
    <w:rsid w:val="005A7778"/>
    <w:rsid w:val="005B1309"/>
    <w:rsid w:val="005C2631"/>
    <w:rsid w:val="005C70D0"/>
    <w:rsid w:val="00610C57"/>
    <w:rsid w:val="006119F9"/>
    <w:rsid w:val="00613210"/>
    <w:rsid w:val="0063510C"/>
    <w:rsid w:val="0065326C"/>
    <w:rsid w:val="00654A3C"/>
    <w:rsid w:val="00657BD4"/>
    <w:rsid w:val="00663593"/>
    <w:rsid w:val="00674FEE"/>
    <w:rsid w:val="00691289"/>
    <w:rsid w:val="0069674C"/>
    <w:rsid w:val="006C7CE9"/>
    <w:rsid w:val="006D693F"/>
    <w:rsid w:val="006E0563"/>
    <w:rsid w:val="006E3A8F"/>
    <w:rsid w:val="007017D0"/>
    <w:rsid w:val="0070387F"/>
    <w:rsid w:val="007069C5"/>
    <w:rsid w:val="00707B2A"/>
    <w:rsid w:val="007211BC"/>
    <w:rsid w:val="00751BE3"/>
    <w:rsid w:val="0077211F"/>
    <w:rsid w:val="007742B4"/>
    <w:rsid w:val="0078571A"/>
    <w:rsid w:val="00786B43"/>
    <w:rsid w:val="0079393C"/>
    <w:rsid w:val="007A45A0"/>
    <w:rsid w:val="007A47BF"/>
    <w:rsid w:val="007B3F0A"/>
    <w:rsid w:val="007E105C"/>
    <w:rsid w:val="007E231F"/>
    <w:rsid w:val="007E58AF"/>
    <w:rsid w:val="0081645A"/>
    <w:rsid w:val="00816AE7"/>
    <w:rsid w:val="00826306"/>
    <w:rsid w:val="00827A6E"/>
    <w:rsid w:val="00832A03"/>
    <w:rsid w:val="00834EBA"/>
    <w:rsid w:val="00837558"/>
    <w:rsid w:val="00844545"/>
    <w:rsid w:val="0085074D"/>
    <w:rsid w:val="00850B7A"/>
    <w:rsid w:val="00864678"/>
    <w:rsid w:val="00867D97"/>
    <w:rsid w:val="00870779"/>
    <w:rsid w:val="008734FE"/>
    <w:rsid w:val="00873A04"/>
    <w:rsid w:val="00876D23"/>
    <w:rsid w:val="00885406"/>
    <w:rsid w:val="00885B6A"/>
    <w:rsid w:val="008A52AE"/>
    <w:rsid w:val="008A5CC9"/>
    <w:rsid w:val="008A71EA"/>
    <w:rsid w:val="008D0619"/>
    <w:rsid w:val="008D27E7"/>
    <w:rsid w:val="008E140E"/>
    <w:rsid w:val="008F1D8D"/>
    <w:rsid w:val="008F68A2"/>
    <w:rsid w:val="009141DF"/>
    <w:rsid w:val="00927EA5"/>
    <w:rsid w:val="00934F0B"/>
    <w:rsid w:val="00940C00"/>
    <w:rsid w:val="00950081"/>
    <w:rsid w:val="00952847"/>
    <w:rsid w:val="00954DAD"/>
    <w:rsid w:val="00983E70"/>
    <w:rsid w:val="0099545D"/>
    <w:rsid w:val="009A08CE"/>
    <w:rsid w:val="009B3460"/>
    <w:rsid w:val="009C28C1"/>
    <w:rsid w:val="009C426E"/>
    <w:rsid w:val="009E7201"/>
    <w:rsid w:val="009F2383"/>
    <w:rsid w:val="00A0284F"/>
    <w:rsid w:val="00A0530A"/>
    <w:rsid w:val="00A11F37"/>
    <w:rsid w:val="00A31FFB"/>
    <w:rsid w:val="00A3777E"/>
    <w:rsid w:val="00A43425"/>
    <w:rsid w:val="00A45A4F"/>
    <w:rsid w:val="00A46FEB"/>
    <w:rsid w:val="00A537D7"/>
    <w:rsid w:val="00A62BC8"/>
    <w:rsid w:val="00A7534C"/>
    <w:rsid w:val="00A77BDA"/>
    <w:rsid w:val="00AA1697"/>
    <w:rsid w:val="00AA631C"/>
    <w:rsid w:val="00AB0E2E"/>
    <w:rsid w:val="00AC280E"/>
    <w:rsid w:val="00AC3D97"/>
    <w:rsid w:val="00AC54FF"/>
    <w:rsid w:val="00AC6BB7"/>
    <w:rsid w:val="00AD4F46"/>
    <w:rsid w:val="00AD75A4"/>
    <w:rsid w:val="00AE60BF"/>
    <w:rsid w:val="00AF2A23"/>
    <w:rsid w:val="00AF7610"/>
    <w:rsid w:val="00B05792"/>
    <w:rsid w:val="00B406F3"/>
    <w:rsid w:val="00B40EC9"/>
    <w:rsid w:val="00B42679"/>
    <w:rsid w:val="00B42B17"/>
    <w:rsid w:val="00B46592"/>
    <w:rsid w:val="00B51194"/>
    <w:rsid w:val="00B74108"/>
    <w:rsid w:val="00B74683"/>
    <w:rsid w:val="00B95FF2"/>
    <w:rsid w:val="00BA05C8"/>
    <w:rsid w:val="00BA412F"/>
    <w:rsid w:val="00BB224C"/>
    <w:rsid w:val="00BB59B5"/>
    <w:rsid w:val="00BC6EA8"/>
    <w:rsid w:val="00BE23DF"/>
    <w:rsid w:val="00BE48F8"/>
    <w:rsid w:val="00BF710E"/>
    <w:rsid w:val="00C002C0"/>
    <w:rsid w:val="00C079A3"/>
    <w:rsid w:val="00C11A85"/>
    <w:rsid w:val="00C16795"/>
    <w:rsid w:val="00C21CEE"/>
    <w:rsid w:val="00C23AC1"/>
    <w:rsid w:val="00C3752E"/>
    <w:rsid w:val="00C4220C"/>
    <w:rsid w:val="00C4223E"/>
    <w:rsid w:val="00C42DCD"/>
    <w:rsid w:val="00C55D7B"/>
    <w:rsid w:val="00C82487"/>
    <w:rsid w:val="00CA0F2E"/>
    <w:rsid w:val="00CA54E5"/>
    <w:rsid w:val="00CC6D5F"/>
    <w:rsid w:val="00CD1A35"/>
    <w:rsid w:val="00CE2836"/>
    <w:rsid w:val="00CF2C3B"/>
    <w:rsid w:val="00D164C4"/>
    <w:rsid w:val="00D16F7D"/>
    <w:rsid w:val="00D23F90"/>
    <w:rsid w:val="00D46FE7"/>
    <w:rsid w:val="00D53803"/>
    <w:rsid w:val="00D72BC7"/>
    <w:rsid w:val="00D86343"/>
    <w:rsid w:val="00D93CCB"/>
    <w:rsid w:val="00DA0843"/>
    <w:rsid w:val="00DA1C38"/>
    <w:rsid w:val="00DB0B10"/>
    <w:rsid w:val="00DC3EB8"/>
    <w:rsid w:val="00DD12DE"/>
    <w:rsid w:val="00DD2185"/>
    <w:rsid w:val="00DD3281"/>
    <w:rsid w:val="00DD6F4F"/>
    <w:rsid w:val="00DE06B0"/>
    <w:rsid w:val="00DE3A9D"/>
    <w:rsid w:val="00DE762E"/>
    <w:rsid w:val="00DF344A"/>
    <w:rsid w:val="00DF37AA"/>
    <w:rsid w:val="00DF4040"/>
    <w:rsid w:val="00DF4E91"/>
    <w:rsid w:val="00E01DF3"/>
    <w:rsid w:val="00E02E9C"/>
    <w:rsid w:val="00E03362"/>
    <w:rsid w:val="00E15B76"/>
    <w:rsid w:val="00E26016"/>
    <w:rsid w:val="00E710D4"/>
    <w:rsid w:val="00E863E5"/>
    <w:rsid w:val="00E96253"/>
    <w:rsid w:val="00EA46ED"/>
    <w:rsid w:val="00EB0B12"/>
    <w:rsid w:val="00EB4D14"/>
    <w:rsid w:val="00EB5907"/>
    <w:rsid w:val="00EE4F03"/>
    <w:rsid w:val="00EF4F68"/>
    <w:rsid w:val="00F074B5"/>
    <w:rsid w:val="00F1590F"/>
    <w:rsid w:val="00F223EC"/>
    <w:rsid w:val="00F25259"/>
    <w:rsid w:val="00F60621"/>
    <w:rsid w:val="00F66369"/>
    <w:rsid w:val="00F84217"/>
    <w:rsid w:val="00FB3E1D"/>
    <w:rsid w:val="00FB681B"/>
    <w:rsid w:val="00FB6AEE"/>
    <w:rsid w:val="00FB7F7C"/>
    <w:rsid w:val="00FC6417"/>
    <w:rsid w:val="00FF2990"/>
    <w:rsid w:val="00FF2D7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EC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C3752E"/>
    <w:pPr>
      <w:ind w:left="720"/>
      <w:contextualSpacing/>
    </w:pPr>
  </w:style>
  <w:style w:type="paragraph" w:styleId="Zhlav">
    <w:name w:val="header"/>
    <w:basedOn w:val="Normln"/>
    <w:link w:val="ZhlavChar"/>
    <w:uiPriority w:val="99"/>
    <w:semiHidden/>
    <w:unhideWhenUsed/>
    <w:rsid w:val="008A71E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A71EA"/>
  </w:style>
  <w:style w:type="paragraph" w:styleId="Zpat">
    <w:name w:val="footer"/>
    <w:basedOn w:val="Normln"/>
    <w:link w:val="ZpatChar"/>
    <w:uiPriority w:val="99"/>
    <w:unhideWhenUsed/>
    <w:rsid w:val="008A71E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71EA"/>
  </w:style>
  <w:style w:type="paragraph" w:styleId="Textbubliny">
    <w:name w:val="Balloon Text"/>
    <w:basedOn w:val="Normln"/>
    <w:link w:val="TextbublinyChar"/>
    <w:uiPriority w:val="99"/>
    <w:semiHidden/>
    <w:unhideWhenUsed/>
    <w:rsid w:val="008A71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71EA"/>
    <w:rPr>
      <w:rFonts w:ascii="Tahoma" w:hAnsi="Tahoma" w:cs="Tahoma"/>
      <w:sz w:val="16"/>
      <w:szCs w:val="16"/>
    </w:rPr>
  </w:style>
  <w:style w:type="character" w:styleId="Odkaznakoment">
    <w:name w:val="annotation reference"/>
    <w:basedOn w:val="Standardnpsmoodstavce"/>
    <w:uiPriority w:val="99"/>
    <w:semiHidden/>
    <w:unhideWhenUsed/>
    <w:rsid w:val="00D16F7D"/>
    <w:rPr>
      <w:sz w:val="16"/>
      <w:szCs w:val="16"/>
    </w:rPr>
  </w:style>
  <w:style w:type="paragraph" w:styleId="Textkomente">
    <w:name w:val="annotation text"/>
    <w:basedOn w:val="Normln"/>
    <w:link w:val="TextkomenteChar"/>
    <w:uiPriority w:val="99"/>
    <w:semiHidden/>
    <w:unhideWhenUsed/>
    <w:rsid w:val="00D16F7D"/>
    <w:pPr>
      <w:spacing w:line="240" w:lineRule="auto"/>
    </w:pPr>
    <w:rPr>
      <w:sz w:val="20"/>
      <w:szCs w:val="20"/>
    </w:rPr>
  </w:style>
  <w:style w:type="character" w:customStyle="1" w:styleId="TextkomenteChar">
    <w:name w:val="Text komentáře Char"/>
    <w:basedOn w:val="Standardnpsmoodstavce"/>
    <w:link w:val="Textkomente"/>
    <w:uiPriority w:val="99"/>
    <w:semiHidden/>
    <w:rsid w:val="00D16F7D"/>
    <w:rPr>
      <w:sz w:val="20"/>
      <w:szCs w:val="20"/>
    </w:rPr>
  </w:style>
  <w:style w:type="paragraph" w:styleId="Pedmtkomente">
    <w:name w:val="annotation subject"/>
    <w:basedOn w:val="Textkomente"/>
    <w:next w:val="Textkomente"/>
    <w:link w:val="PedmtkomenteChar"/>
    <w:uiPriority w:val="99"/>
    <w:semiHidden/>
    <w:unhideWhenUsed/>
    <w:rsid w:val="00D16F7D"/>
    <w:rPr>
      <w:b/>
      <w:bCs/>
    </w:rPr>
  </w:style>
  <w:style w:type="character" w:customStyle="1" w:styleId="PedmtkomenteChar">
    <w:name w:val="Předmět komentáře Char"/>
    <w:basedOn w:val="TextkomenteChar"/>
    <w:link w:val="Pedmtkomente"/>
    <w:uiPriority w:val="99"/>
    <w:semiHidden/>
    <w:rsid w:val="00D16F7D"/>
    <w:rPr>
      <w:b/>
      <w:bCs/>
      <w:sz w:val="20"/>
      <w:szCs w:val="20"/>
    </w:rPr>
  </w:style>
  <w:style w:type="paragraph" w:customStyle="1" w:styleId="nadpiszkona">
    <w:name w:val="nadpis zákona"/>
    <w:basedOn w:val="Normln"/>
    <w:next w:val="Normln"/>
    <w:rsid w:val="0031525C"/>
    <w:pPr>
      <w:keepNext/>
      <w:keepLines/>
      <w:spacing w:before="120"/>
      <w:jc w:val="center"/>
      <w:outlineLvl w:val="0"/>
    </w:pPr>
    <w:rPr>
      <w:rFonts w:asciiTheme="minorHAnsi" w:hAnsiTheme="minorHAnsi" w:cstheme="minorBidi"/>
      <w:b/>
      <w:lang w:val="en-US"/>
    </w:rPr>
  </w:style>
</w:styles>
</file>

<file path=word/webSettings.xml><?xml version="1.0" encoding="utf-8"?>
<w:webSettings xmlns:r="http://schemas.openxmlformats.org/officeDocument/2006/relationships" xmlns:w="http://schemas.openxmlformats.org/wordprocessingml/2006/main">
  <w:divs>
    <w:div w:id="396129111">
      <w:bodyDiv w:val="1"/>
      <w:marLeft w:val="0"/>
      <w:marRight w:val="0"/>
      <w:marTop w:val="0"/>
      <w:marBottom w:val="0"/>
      <w:divBdr>
        <w:top w:val="none" w:sz="0" w:space="0" w:color="auto"/>
        <w:left w:val="none" w:sz="0" w:space="0" w:color="auto"/>
        <w:bottom w:val="none" w:sz="0" w:space="0" w:color="auto"/>
        <w:right w:val="none" w:sz="0" w:space="0" w:color="auto"/>
      </w:divBdr>
    </w:div>
    <w:div w:id="1852178610">
      <w:bodyDiv w:val="1"/>
      <w:marLeft w:val="0"/>
      <w:marRight w:val="0"/>
      <w:marTop w:val="0"/>
      <w:marBottom w:val="0"/>
      <w:divBdr>
        <w:top w:val="none" w:sz="0" w:space="0" w:color="auto"/>
        <w:left w:val="none" w:sz="0" w:space="0" w:color="auto"/>
        <w:bottom w:val="none" w:sz="0" w:space="0" w:color="auto"/>
        <w:right w:val="none" w:sz="0" w:space="0" w:color="auto"/>
      </w:divBdr>
    </w:div>
    <w:div w:id="1863088720">
      <w:bodyDiv w:val="1"/>
      <w:marLeft w:val="0"/>
      <w:marRight w:val="0"/>
      <w:marTop w:val="0"/>
      <w:marBottom w:val="0"/>
      <w:divBdr>
        <w:top w:val="none" w:sz="0" w:space="0" w:color="auto"/>
        <w:left w:val="none" w:sz="0" w:space="0" w:color="auto"/>
        <w:bottom w:val="none" w:sz="0" w:space="0" w:color="auto"/>
        <w:right w:val="none" w:sz="0" w:space="0" w:color="auto"/>
      </w:divBdr>
    </w:div>
    <w:div w:id="186851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426/2005%20Sb.%25239'&amp;ucin-k-dni='30.12.999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spi://module='ASPI'&amp;link='426/2005%20Sb.%25239'&amp;ucin-k-dni='30.12.9999'"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DC22B-23CA-4C37-9E37-DD7BEB911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932</Words>
  <Characters>5499</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HKCR</Company>
  <LinksUpToDate>false</LinksUpToDate>
  <CharactersWithSpaces>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Pripominkovani</dc:creator>
  <cp:lastModifiedBy>Pecanek 2</cp:lastModifiedBy>
  <cp:revision>6</cp:revision>
  <dcterms:created xsi:type="dcterms:W3CDTF">2015-10-06T10:28:00Z</dcterms:created>
  <dcterms:modified xsi:type="dcterms:W3CDTF">2015-11-20T14:41:00Z</dcterms:modified>
</cp:coreProperties>
</file>