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9322" w:type="dxa"/>
        <w:tblLook w:val="04A0"/>
      </w:tblPr>
      <w:tblGrid>
        <w:gridCol w:w="2093"/>
        <w:gridCol w:w="7229"/>
      </w:tblGrid>
      <w:tr w:rsidR="005B1309" w:rsidRPr="001221E6" w:rsidTr="00457528">
        <w:tc>
          <w:tcPr>
            <w:tcW w:w="2093" w:type="dxa"/>
            <w:vAlign w:val="center"/>
          </w:tcPr>
          <w:p w:rsidR="005B1309" w:rsidRPr="001221E6" w:rsidRDefault="005B1309" w:rsidP="00457528">
            <w:pPr>
              <w:rPr>
                <w:b/>
              </w:rPr>
            </w:pPr>
            <w:r w:rsidRPr="001221E6">
              <w:rPr>
                <w:b/>
              </w:rPr>
              <w:t>Název materiálu:</w:t>
            </w:r>
          </w:p>
        </w:tc>
        <w:tc>
          <w:tcPr>
            <w:tcW w:w="7229" w:type="dxa"/>
            <w:vAlign w:val="center"/>
          </w:tcPr>
          <w:p w:rsidR="005B1309" w:rsidRPr="001221E6" w:rsidRDefault="008A71EA" w:rsidP="00457528">
            <w:pPr>
              <w:rPr>
                <w:b/>
              </w:rPr>
            </w:pPr>
            <w:r w:rsidRPr="001221E6">
              <w:rPr>
                <w:b/>
              </w:rPr>
              <w:t>N</w:t>
            </w:r>
            <w:r w:rsidR="008D0619" w:rsidRPr="001221E6">
              <w:rPr>
                <w:b/>
              </w:rPr>
              <w:t>ovela zákona o ochraně ovzduší</w:t>
            </w:r>
            <w:r w:rsidRPr="001221E6">
              <w:t xml:space="preserve"> (zveřejněno </w:t>
            </w:r>
            <w:proofErr w:type="spellStart"/>
            <w:r w:rsidRPr="001221E6">
              <w:t>HK</w:t>
            </w:r>
            <w:proofErr w:type="spellEnd"/>
            <w:r w:rsidRPr="001221E6">
              <w:t xml:space="preserve"> ČR dne </w:t>
            </w:r>
            <w:r w:rsidR="008D0619" w:rsidRPr="001221E6">
              <w:t>25.</w:t>
            </w:r>
            <w:r w:rsidRPr="001221E6">
              <w:t xml:space="preserve"> 6. 2015)</w:t>
            </w:r>
          </w:p>
        </w:tc>
      </w:tr>
      <w:tr w:rsidR="005B1309" w:rsidRPr="001221E6" w:rsidTr="00457528">
        <w:tc>
          <w:tcPr>
            <w:tcW w:w="2093" w:type="dxa"/>
            <w:vAlign w:val="center"/>
          </w:tcPr>
          <w:p w:rsidR="005B1309" w:rsidRPr="001221E6" w:rsidRDefault="005B1309" w:rsidP="00457528">
            <w:pPr>
              <w:rPr>
                <w:b/>
              </w:rPr>
            </w:pPr>
            <w:r w:rsidRPr="001221E6">
              <w:rPr>
                <w:b/>
              </w:rPr>
              <w:t>Jméno:</w:t>
            </w:r>
          </w:p>
        </w:tc>
        <w:tc>
          <w:tcPr>
            <w:tcW w:w="7229" w:type="dxa"/>
            <w:vAlign w:val="center"/>
          </w:tcPr>
          <w:p w:rsidR="005B1309" w:rsidRPr="001221E6" w:rsidRDefault="008A71EA" w:rsidP="00457528">
            <w:r w:rsidRPr="001221E6">
              <w:t>Tomáš Pecánek</w:t>
            </w:r>
          </w:p>
        </w:tc>
      </w:tr>
      <w:tr w:rsidR="005B1309" w:rsidRPr="001221E6" w:rsidTr="00457528">
        <w:tc>
          <w:tcPr>
            <w:tcW w:w="2093" w:type="dxa"/>
            <w:vAlign w:val="center"/>
          </w:tcPr>
          <w:p w:rsidR="005B1309" w:rsidRPr="001221E6" w:rsidRDefault="005B1309" w:rsidP="00457528">
            <w:pPr>
              <w:rPr>
                <w:b/>
              </w:rPr>
            </w:pPr>
            <w:r w:rsidRPr="001221E6">
              <w:rPr>
                <w:b/>
              </w:rPr>
              <w:t>Telefon</w:t>
            </w:r>
            <w:r w:rsidRPr="001221E6">
              <w:rPr>
                <w:b/>
              </w:rPr>
              <w:tab/>
              <w:t>:</w:t>
            </w:r>
          </w:p>
        </w:tc>
        <w:tc>
          <w:tcPr>
            <w:tcW w:w="7229" w:type="dxa"/>
            <w:vAlign w:val="center"/>
          </w:tcPr>
          <w:p w:rsidR="005B1309" w:rsidRPr="001221E6" w:rsidRDefault="008A71EA" w:rsidP="00457528">
            <w:r w:rsidRPr="001221E6">
              <w:t>+420 602 560 771</w:t>
            </w:r>
          </w:p>
        </w:tc>
      </w:tr>
      <w:tr w:rsidR="005B1309" w:rsidRPr="001221E6" w:rsidTr="00457528">
        <w:tc>
          <w:tcPr>
            <w:tcW w:w="2093" w:type="dxa"/>
            <w:vAlign w:val="center"/>
          </w:tcPr>
          <w:p w:rsidR="005B1309" w:rsidRPr="001221E6" w:rsidRDefault="005B1309" w:rsidP="00457528">
            <w:pPr>
              <w:rPr>
                <w:b/>
              </w:rPr>
            </w:pPr>
            <w:r w:rsidRPr="001221E6">
              <w:rPr>
                <w:b/>
              </w:rPr>
              <w:t>e-mail:</w:t>
            </w:r>
          </w:p>
        </w:tc>
        <w:tc>
          <w:tcPr>
            <w:tcW w:w="7229" w:type="dxa"/>
            <w:vAlign w:val="center"/>
          </w:tcPr>
          <w:p w:rsidR="005B1309" w:rsidRPr="001221E6" w:rsidRDefault="008A71EA" w:rsidP="00457528">
            <w:proofErr w:type="spellStart"/>
            <w:r w:rsidRPr="001221E6">
              <w:t>tomas.pecanek</w:t>
            </w:r>
            <w:proofErr w:type="spellEnd"/>
            <w:r w:rsidRPr="001221E6">
              <w:t>@</w:t>
            </w:r>
            <w:proofErr w:type="spellStart"/>
            <w:r w:rsidRPr="001221E6">
              <w:t>cgoa.cz</w:t>
            </w:r>
            <w:proofErr w:type="spellEnd"/>
          </w:p>
        </w:tc>
      </w:tr>
    </w:tbl>
    <w:p w:rsidR="008A71EA" w:rsidRPr="001221E6" w:rsidRDefault="008A71EA" w:rsidP="00E02E9C">
      <w:pPr>
        <w:tabs>
          <w:tab w:val="left" w:pos="567"/>
        </w:tabs>
        <w:spacing w:after="0" w:line="240" w:lineRule="auto"/>
        <w:jc w:val="both"/>
        <w:rPr>
          <w:b/>
        </w:rPr>
      </w:pPr>
    </w:p>
    <w:p w:rsidR="00457528" w:rsidRPr="001221E6" w:rsidRDefault="00457528" w:rsidP="00E02E9C">
      <w:pPr>
        <w:tabs>
          <w:tab w:val="left" w:pos="567"/>
        </w:tabs>
        <w:spacing w:after="0" w:line="240" w:lineRule="auto"/>
        <w:jc w:val="both"/>
        <w:rPr>
          <w:b/>
        </w:rPr>
      </w:pPr>
    </w:p>
    <w:p w:rsidR="00457528" w:rsidRPr="001221E6" w:rsidRDefault="00457528" w:rsidP="00457528">
      <w:pPr>
        <w:spacing w:after="0" w:line="240" w:lineRule="auto"/>
        <w:rPr>
          <w:b/>
        </w:rPr>
      </w:pPr>
    </w:p>
    <w:p w:rsidR="00457528" w:rsidRPr="001221E6" w:rsidRDefault="00457528" w:rsidP="00457528">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1221E6">
        <w:rPr>
          <w:b/>
        </w:rPr>
        <w:t>A.</w:t>
      </w:r>
      <w:r w:rsidRPr="001221E6">
        <w:rPr>
          <w:b/>
        </w:rPr>
        <w:tab/>
        <w:t>SHRNUTÍ HLAVNÍCH DOPADŮ PŘEDLOŽENÉHO MATERIÁLU</w:t>
      </w:r>
      <w:r w:rsidRPr="001221E6">
        <w:t xml:space="preserve"> </w:t>
      </w:r>
    </w:p>
    <w:p w:rsidR="00457528" w:rsidRPr="001221E6" w:rsidRDefault="00457528" w:rsidP="00457528">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p>
    <w:p w:rsidR="00457528" w:rsidRPr="001221E6" w:rsidRDefault="00457528" w:rsidP="00457528">
      <w:pPr>
        <w:tabs>
          <w:tab w:val="left" w:pos="567"/>
        </w:tabs>
        <w:spacing w:after="0" w:line="240" w:lineRule="auto"/>
        <w:contextualSpacing/>
        <w:jc w:val="both"/>
      </w:pPr>
    </w:p>
    <w:p w:rsidR="00F25259" w:rsidRPr="001221E6" w:rsidRDefault="00F25259" w:rsidP="00457528">
      <w:pPr>
        <w:tabs>
          <w:tab w:val="left" w:pos="567"/>
        </w:tabs>
        <w:spacing w:after="0" w:line="240" w:lineRule="auto"/>
        <w:contextualSpacing/>
        <w:jc w:val="both"/>
      </w:pPr>
    </w:p>
    <w:p w:rsidR="00457528" w:rsidRPr="001221E6" w:rsidRDefault="00457528" w:rsidP="0016267E">
      <w:pPr>
        <w:pBdr>
          <w:top w:val="single" w:sz="4" w:space="1" w:color="auto"/>
          <w:left w:val="single" w:sz="4" w:space="4" w:color="auto"/>
          <w:bottom w:val="single" w:sz="4" w:space="1" w:color="auto"/>
          <w:right w:val="single" w:sz="4" w:space="4" w:color="auto"/>
        </w:pBdr>
        <w:tabs>
          <w:tab w:val="left" w:pos="567"/>
        </w:tabs>
        <w:spacing w:after="0" w:line="240" w:lineRule="auto"/>
        <w:jc w:val="both"/>
        <w:rPr>
          <w:i/>
          <w:sz w:val="20"/>
          <w:szCs w:val="20"/>
        </w:rPr>
      </w:pPr>
      <w:r w:rsidRPr="001221E6">
        <w:rPr>
          <w:b/>
        </w:rPr>
        <w:t>B.</w:t>
      </w:r>
      <w:r w:rsidRPr="001221E6">
        <w:rPr>
          <w:b/>
        </w:rPr>
        <w:tab/>
        <w:t>OBECNÁ PŘIPOMÍNKA</w:t>
      </w:r>
    </w:p>
    <w:p w:rsidR="00832A03" w:rsidRPr="001221E6" w:rsidRDefault="0016267E" w:rsidP="00457528">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r w:rsidRPr="001221E6">
        <w:t>Celý zákon o ochraně ovzduší je díky řadě podmínečných výjimek (</w:t>
      </w:r>
      <w:r w:rsidR="001E5462" w:rsidRPr="001221E6">
        <w:t xml:space="preserve">podmínky pro </w:t>
      </w:r>
      <w:r w:rsidRPr="001221E6">
        <w:t xml:space="preserve">plnění emisních limitů, sčítání zdrojů, </w:t>
      </w:r>
      <w:r w:rsidR="001E5462" w:rsidRPr="001221E6">
        <w:t xml:space="preserve">variabilita </w:t>
      </w:r>
      <w:r w:rsidRPr="001221E6">
        <w:t>rok</w:t>
      </w:r>
      <w:r w:rsidR="001E5462" w:rsidRPr="001221E6">
        <w:t>ů</w:t>
      </w:r>
      <w:r w:rsidRPr="001221E6">
        <w:t xml:space="preserve"> uvedení do provozu, velikost</w:t>
      </w:r>
      <w:r w:rsidR="001E5462" w:rsidRPr="001221E6">
        <w:t>i</w:t>
      </w:r>
      <w:r w:rsidRPr="001221E6">
        <w:t xml:space="preserve"> zdrojů, účel</w:t>
      </w:r>
      <w:r w:rsidR="001E5462" w:rsidRPr="001221E6">
        <w:t>y</w:t>
      </w:r>
      <w:r w:rsidRPr="001221E6">
        <w:t xml:space="preserve"> užití zdrojů, druh</w:t>
      </w:r>
      <w:r w:rsidR="001E5462" w:rsidRPr="001221E6">
        <w:t>y</w:t>
      </w:r>
      <w:r w:rsidRPr="001221E6">
        <w:t xml:space="preserve"> paliv apod.), </w:t>
      </w:r>
      <w:r w:rsidR="001E5462" w:rsidRPr="001221E6">
        <w:t>nejasn</w:t>
      </w:r>
      <w:r w:rsidR="001016C8" w:rsidRPr="001221E6">
        <w:t xml:space="preserve">ému </w:t>
      </w:r>
      <w:r w:rsidR="001E5462" w:rsidRPr="001221E6">
        <w:t>stanovením termínu povinnosti ukončení provozu jednotlivých zdrojů, nejasn</w:t>
      </w:r>
      <w:r w:rsidR="001016C8" w:rsidRPr="001221E6">
        <w:t xml:space="preserve">é </w:t>
      </w:r>
      <w:r w:rsidR="001E5462" w:rsidRPr="001221E6">
        <w:t>vazb</w:t>
      </w:r>
      <w:r w:rsidR="001016C8" w:rsidRPr="001221E6">
        <w:t>ě</w:t>
      </w:r>
      <w:r w:rsidR="001E5462" w:rsidRPr="001221E6">
        <w:t xml:space="preserve"> na související l</w:t>
      </w:r>
      <w:r w:rsidRPr="001221E6">
        <w:t>egislativu (např. zákon 76/2002 Sb. o integrované prevenci), slab</w:t>
      </w:r>
      <w:r w:rsidR="001016C8" w:rsidRPr="001221E6">
        <w:t>é</w:t>
      </w:r>
      <w:r w:rsidRPr="001221E6">
        <w:t xml:space="preserve"> provázanost</w:t>
      </w:r>
      <w:r w:rsidR="001016C8" w:rsidRPr="001221E6">
        <w:t>i</w:t>
      </w:r>
      <w:r w:rsidRPr="001221E6">
        <w:t xml:space="preserve"> jednotlivých ustanovení, odkaz</w:t>
      </w:r>
      <w:r w:rsidR="001016C8" w:rsidRPr="001221E6">
        <w:t>ům</w:t>
      </w:r>
      <w:r w:rsidRPr="001221E6">
        <w:t xml:space="preserve"> na evropskou legislativu a zároveň </w:t>
      </w:r>
      <w:r w:rsidR="001016C8" w:rsidRPr="001221E6">
        <w:t xml:space="preserve">paralelní </w:t>
      </w:r>
      <w:r w:rsidRPr="001221E6">
        <w:t>úprav</w:t>
      </w:r>
      <w:r w:rsidR="001016C8" w:rsidRPr="001221E6">
        <w:t>ou</w:t>
      </w:r>
      <w:r w:rsidRPr="001221E6">
        <w:t xml:space="preserve"> stejné oblasti, řad</w:t>
      </w:r>
      <w:r w:rsidR="001016C8" w:rsidRPr="001221E6">
        <w:t>ě</w:t>
      </w:r>
      <w:r w:rsidRPr="001221E6">
        <w:t xml:space="preserve"> přechodných ustanovení </w:t>
      </w:r>
      <w:r w:rsidR="001016C8" w:rsidRPr="001221E6">
        <w:t xml:space="preserve">atd. </w:t>
      </w:r>
      <w:r w:rsidRPr="001221E6">
        <w:t>celkově značně nepřehledný a nabízí se otázka, zda by zákonu namísto drobných změn neprospěla základní změna koncepční.</w:t>
      </w:r>
    </w:p>
    <w:p w:rsidR="00457528" w:rsidRDefault="00457528" w:rsidP="0079393C">
      <w:pPr>
        <w:pStyle w:val="Odstavecseseznamem"/>
        <w:tabs>
          <w:tab w:val="left" w:pos="567"/>
        </w:tabs>
        <w:spacing w:after="0" w:line="240" w:lineRule="auto"/>
        <w:ind w:left="0"/>
        <w:contextualSpacing w:val="0"/>
        <w:jc w:val="both"/>
      </w:pPr>
    </w:p>
    <w:p w:rsidR="00EF4F68" w:rsidRPr="001221E6" w:rsidRDefault="00EF4F68" w:rsidP="0079393C">
      <w:pPr>
        <w:pStyle w:val="Odstavecseseznamem"/>
        <w:tabs>
          <w:tab w:val="left" w:pos="567"/>
        </w:tabs>
        <w:spacing w:after="0" w:line="240" w:lineRule="auto"/>
        <w:ind w:left="0"/>
        <w:contextualSpacing w:val="0"/>
        <w:jc w:val="both"/>
      </w:pPr>
    </w:p>
    <w:p w:rsidR="004D5CCD" w:rsidRDefault="00457528" w:rsidP="008A71EA">
      <w:pPr>
        <w:tabs>
          <w:tab w:val="left" w:pos="567"/>
        </w:tabs>
        <w:spacing w:after="0" w:line="240" w:lineRule="auto"/>
        <w:jc w:val="both"/>
        <w:rPr>
          <w:b/>
        </w:rPr>
      </w:pPr>
      <w:r w:rsidRPr="001221E6">
        <w:rPr>
          <w:b/>
        </w:rPr>
        <w:t>C</w:t>
      </w:r>
      <w:r w:rsidR="008A71EA" w:rsidRPr="001221E6">
        <w:rPr>
          <w:b/>
        </w:rPr>
        <w:t>.</w:t>
      </w:r>
      <w:r w:rsidR="008A71EA" w:rsidRPr="001221E6">
        <w:rPr>
          <w:b/>
        </w:rPr>
        <w:tab/>
      </w:r>
      <w:r w:rsidR="00DC3EB8" w:rsidRPr="001221E6">
        <w:rPr>
          <w:b/>
        </w:rPr>
        <w:t xml:space="preserve">ZÁSADNÍ </w:t>
      </w:r>
      <w:r w:rsidR="004D5CCD" w:rsidRPr="001221E6">
        <w:rPr>
          <w:b/>
        </w:rPr>
        <w:t>KONKRÉTNÍ PŘIPOMÍNK</w:t>
      </w:r>
      <w:r w:rsidR="0032279B" w:rsidRPr="001221E6">
        <w:rPr>
          <w:b/>
        </w:rPr>
        <w:t>Y</w:t>
      </w:r>
    </w:p>
    <w:p w:rsidR="0099545D" w:rsidRPr="001221E6" w:rsidRDefault="0099545D" w:rsidP="0099545D">
      <w:pPr>
        <w:pStyle w:val="Odstavecseseznamem"/>
        <w:tabs>
          <w:tab w:val="left" w:pos="567"/>
        </w:tabs>
        <w:spacing w:after="0" w:line="240" w:lineRule="auto"/>
        <w:ind w:left="0"/>
        <w:contextualSpacing w:val="0"/>
        <w:jc w:val="both"/>
      </w:pPr>
    </w:p>
    <w:p w:rsidR="0099545D" w:rsidRPr="001221E6" w:rsidRDefault="0099545D" w:rsidP="0099545D">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1221E6">
        <w:rPr>
          <w:b/>
        </w:rPr>
        <w:t xml:space="preserve">Připomínka k § </w:t>
      </w:r>
      <w:r>
        <w:rPr>
          <w:b/>
        </w:rPr>
        <w:t>16</w:t>
      </w:r>
      <w:r w:rsidRPr="001221E6">
        <w:rPr>
          <w:b/>
        </w:rPr>
        <w:t xml:space="preserve"> odst. 2</w:t>
      </w:r>
    </w:p>
    <w:p w:rsidR="0099545D" w:rsidRDefault="0099545D" w:rsidP="0099545D">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1221E6">
        <w:t xml:space="preserve">Požadujeme doplnit </w:t>
      </w:r>
      <w:r>
        <w:t xml:space="preserve">poznámku pod čarou 33) o nejnovější, přímo </w:t>
      </w:r>
      <w:r w:rsidRPr="0099545D">
        <w:t>použitelné předpisy Evropské unie</w:t>
      </w:r>
      <w:r>
        <w:t>,</w:t>
      </w:r>
      <w:r w:rsidRPr="0099545D">
        <w:t xml:space="preserve"> upravující požadavky na </w:t>
      </w:r>
      <w:proofErr w:type="spellStart"/>
      <w:r w:rsidRPr="0099545D">
        <w:t>ekodesign</w:t>
      </w:r>
      <w:proofErr w:type="spellEnd"/>
      <w:r w:rsidRPr="0099545D">
        <w:t xml:space="preserve"> výrobků spojených se spotřebou energie</w:t>
      </w:r>
      <w:r>
        <w:t>. Jedná se o</w:t>
      </w:r>
      <w:r w:rsidR="001B266B">
        <w:t>:</w:t>
      </w:r>
    </w:p>
    <w:p w:rsidR="0099545D" w:rsidRPr="001B266B" w:rsidRDefault="001B266B" w:rsidP="0099545D">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1B266B">
        <w:rPr>
          <w:b/>
        </w:rPr>
        <w:t>Nařízení Komise (EU) č. XXX/</w:t>
      </w:r>
      <w:proofErr w:type="spellStart"/>
      <w:r w:rsidRPr="001B266B">
        <w:rPr>
          <w:b/>
        </w:rPr>
        <w:t>XXXX</w:t>
      </w:r>
      <w:proofErr w:type="spellEnd"/>
      <w:r w:rsidRPr="001B266B">
        <w:rPr>
          <w:b/>
        </w:rPr>
        <w:t xml:space="preserve"> ze dne </w:t>
      </w:r>
      <w:proofErr w:type="spellStart"/>
      <w:proofErr w:type="gramStart"/>
      <w:r w:rsidRPr="001B266B">
        <w:rPr>
          <w:b/>
        </w:rPr>
        <w:t>DD.MM</w:t>
      </w:r>
      <w:proofErr w:type="gramEnd"/>
      <w:r w:rsidRPr="001B266B">
        <w:rPr>
          <w:b/>
        </w:rPr>
        <w:t>.RRRR</w:t>
      </w:r>
      <w:proofErr w:type="spellEnd"/>
      <w:r w:rsidRPr="001B266B">
        <w:rPr>
          <w:b/>
        </w:rPr>
        <w:t xml:space="preserve">, kterým se provádí směrnice Evropského parlamentu a Rady 2009/125/ES, pokud jde o požadavky na </w:t>
      </w:r>
      <w:proofErr w:type="spellStart"/>
      <w:r w:rsidRPr="001B266B">
        <w:rPr>
          <w:b/>
        </w:rPr>
        <w:t>ekodesign</w:t>
      </w:r>
      <w:proofErr w:type="spellEnd"/>
      <w:r w:rsidRPr="001B266B">
        <w:rPr>
          <w:b/>
        </w:rPr>
        <w:t xml:space="preserve"> kotlů pro ústřední vytápění na pevná paliva,</w:t>
      </w:r>
    </w:p>
    <w:p w:rsidR="001B266B" w:rsidRDefault="001B266B" w:rsidP="0099545D">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1B266B">
        <w:rPr>
          <w:b/>
        </w:rPr>
        <w:t>Nařízení Komise (EU) č. XXX/</w:t>
      </w:r>
      <w:proofErr w:type="spellStart"/>
      <w:r w:rsidRPr="001B266B">
        <w:rPr>
          <w:b/>
        </w:rPr>
        <w:t>XXXX</w:t>
      </w:r>
      <w:proofErr w:type="spellEnd"/>
      <w:r w:rsidRPr="001B266B">
        <w:rPr>
          <w:b/>
        </w:rPr>
        <w:t xml:space="preserve"> ze dne </w:t>
      </w:r>
      <w:proofErr w:type="spellStart"/>
      <w:proofErr w:type="gramStart"/>
      <w:r w:rsidRPr="001B266B">
        <w:rPr>
          <w:b/>
        </w:rPr>
        <w:t>DD.MM</w:t>
      </w:r>
      <w:proofErr w:type="gramEnd"/>
      <w:r w:rsidRPr="001B266B">
        <w:rPr>
          <w:b/>
        </w:rPr>
        <w:t>.RRRR</w:t>
      </w:r>
      <w:proofErr w:type="spellEnd"/>
      <w:r w:rsidRPr="001B266B">
        <w:rPr>
          <w:b/>
        </w:rPr>
        <w:t xml:space="preserve">, kterým se provádí směrnice Evropského parlamentu a Rady 2009/125/ES, pokud jde o požadavky na </w:t>
      </w:r>
      <w:proofErr w:type="spellStart"/>
      <w:r w:rsidRPr="001B266B">
        <w:rPr>
          <w:b/>
        </w:rPr>
        <w:t>ekodesign</w:t>
      </w:r>
      <w:proofErr w:type="spellEnd"/>
      <w:r w:rsidRPr="001B266B">
        <w:rPr>
          <w:b/>
        </w:rPr>
        <w:t xml:space="preserve"> spotřebičů na pevná paliva pro vytápění obytných prostorů</w:t>
      </w:r>
      <w:r>
        <w:t>.</w:t>
      </w:r>
    </w:p>
    <w:p w:rsidR="0099545D" w:rsidRDefault="0099545D" w:rsidP="0099545D">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1B266B" w:rsidRPr="001221E6" w:rsidRDefault="001B266B" w:rsidP="001B266B">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1221E6">
        <w:rPr>
          <w:b/>
        </w:rPr>
        <w:t>Úplné znění:</w:t>
      </w:r>
    </w:p>
    <w:p w:rsidR="0099545D" w:rsidRDefault="001B266B" w:rsidP="0099545D">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1B266B">
        <w:rPr>
          <w:vertAlign w:val="superscript"/>
        </w:rPr>
        <w:t>33)</w:t>
      </w:r>
      <w:r>
        <w:t xml:space="preserve"> </w:t>
      </w:r>
      <w:r w:rsidRPr="001B266B">
        <w:t xml:space="preserve">Nařízení Komise (EU) č. 813/2013 ze dne 2. srpna 2013, kterým se provádí směrnice Evropského parlamentu a Rady 2009/125/ES, pokud jde o požadavky na </w:t>
      </w:r>
      <w:proofErr w:type="spellStart"/>
      <w:r w:rsidRPr="001B266B">
        <w:t>ekodesign</w:t>
      </w:r>
      <w:proofErr w:type="spellEnd"/>
      <w:r w:rsidRPr="001B266B">
        <w:t xml:space="preserve"> ohřívačů pro vytápění vnitřních prostorů a kombinovaných ohřívačů</w:t>
      </w:r>
      <w:r>
        <w:t>,</w:t>
      </w:r>
    </w:p>
    <w:p w:rsidR="001B266B" w:rsidRDefault="001B266B" w:rsidP="0099545D">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t xml:space="preserve">Nařízení Komise (EU) č. 814/2013 ze dne 2. srpna 2013, kterým se provádí směrnice Evropského parlamentu a Rady 2009/125/ES, pokud jde o požadavky na </w:t>
      </w:r>
      <w:proofErr w:type="spellStart"/>
      <w:r>
        <w:t>ekodesign</w:t>
      </w:r>
      <w:proofErr w:type="spellEnd"/>
      <w:r>
        <w:t xml:space="preserve"> ohřívačů vody a zásobníků teplé vody,</w:t>
      </w:r>
    </w:p>
    <w:p w:rsidR="0099545D" w:rsidRPr="001B266B" w:rsidRDefault="001B266B" w:rsidP="0099545D">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1B266B">
        <w:rPr>
          <w:b/>
        </w:rPr>
        <w:t>Nařízení Komise (EU) č. XXX/</w:t>
      </w:r>
      <w:proofErr w:type="spellStart"/>
      <w:r w:rsidRPr="001B266B">
        <w:rPr>
          <w:b/>
        </w:rPr>
        <w:t>XXXX</w:t>
      </w:r>
      <w:proofErr w:type="spellEnd"/>
      <w:r w:rsidRPr="001B266B">
        <w:rPr>
          <w:b/>
        </w:rPr>
        <w:t xml:space="preserve"> ze dne </w:t>
      </w:r>
      <w:proofErr w:type="spellStart"/>
      <w:proofErr w:type="gramStart"/>
      <w:r w:rsidRPr="001B266B">
        <w:rPr>
          <w:b/>
        </w:rPr>
        <w:t>DD.MM</w:t>
      </w:r>
      <w:proofErr w:type="gramEnd"/>
      <w:r w:rsidRPr="001B266B">
        <w:rPr>
          <w:b/>
        </w:rPr>
        <w:t>.RRRR</w:t>
      </w:r>
      <w:proofErr w:type="spellEnd"/>
      <w:r w:rsidRPr="001B266B">
        <w:rPr>
          <w:b/>
        </w:rPr>
        <w:t xml:space="preserve">, kterým se provádí směrnice Evropského parlamentu a Rady 2009/125/ES, pokud jde o požadavky na </w:t>
      </w:r>
      <w:proofErr w:type="spellStart"/>
      <w:r w:rsidRPr="001B266B">
        <w:rPr>
          <w:b/>
        </w:rPr>
        <w:t>ekodesign</w:t>
      </w:r>
      <w:proofErr w:type="spellEnd"/>
      <w:r w:rsidRPr="001B266B">
        <w:rPr>
          <w:b/>
        </w:rPr>
        <w:t xml:space="preserve"> kotlů pro ústřední vytápění na pevná paliva,</w:t>
      </w:r>
    </w:p>
    <w:p w:rsidR="0099545D" w:rsidRDefault="001B266B" w:rsidP="0099545D">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1B266B">
        <w:rPr>
          <w:b/>
        </w:rPr>
        <w:t>Nařízení Komise (EU) č. XXX/</w:t>
      </w:r>
      <w:proofErr w:type="spellStart"/>
      <w:r w:rsidRPr="001B266B">
        <w:rPr>
          <w:b/>
        </w:rPr>
        <w:t>XXXX</w:t>
      </w:r>
      <w:proofErr w:type="spellEnd"/>
      <w:r w:rsidRPr="001B266B">
        <w:rPr>
          <w:b/>
        </w:rPr>
        <w:t xml:space="preserve"> ze dne </w:t>
      </w:r>
      <w:proofErr w:type="spellStart"/>
      <w:proofErr w:type="gramStart"/>
      <w:r w:rsidRPr="001B266B">
        <w:rPr>
          <w:b/>
        </w:rPr>
        <w:t>DD.MM</w:t>
      </w:r>
      <w:proofErr w:type="gramEnd"/>
      <w:r w:rsidRPr="001B266B">
        <w:rPr>
          <w:b/>
        </w:rPr>
        <w:t>.RRRR</w:t>
      </w:r>
      <w:proofErr w:type="spellEnd"/>
      <w:r w:rsidRPr="001B266B">
        <w:rPr>
          <w:b/>
        </w:rPr>
        <w:t xml:space="preserve">, kterým se provádí směrnice Evropského parlamentu a Rady 2009/125/ES, pokud jde o požadavky na </w:t>
      </w:r>
      <w:proofErr w:type="spellStart"/>
      <w:r w:rsidRPr="001B266B">
        <w:rPr>
          <w:b/>
        </w:rPr>
        <w:t>ekodesign</w:t>
      </w:r>
      <w:proofErr w:type="spellEnd"/>
      <w:r w:rsidRPr="001B266B">
        <w:rPr>
          <w:b/>
        </w:rPr>
        <w:t xml:space="preserve"> spotřebičů na pevná paliva pro vytápění obytných prostorů</w:t>
      </w:r>
      <w:r>
        <w:t>.</w:t>
      </w:r>
    </w:p>
    <w:p w:rsidR="0099545D" w:rsidRPr="001221E6" w:rsidRDefault="0099545D" w:rsidP="0099545D">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99545D" w:rsidRDefault="0099545D" w:rsidP="0099545D">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1221E6">
        <w:rPr>
          <w:b/>
        </w:rPr>
        <w:t>Odůvodnění:</w:t>
      </w:r>
    </w:p>
    <w:p w:rsidR="0099545D" w:rsidRPr="001221E6" w:rsidRDefault="001B266B" w:rsidP="0099545D">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t>Jedná se o doplnění předpisů, k jejichž schválení Evropským parlamentem již došlo nebo v nejbližší době dojde. Předpisy budou platné bez ohledu na existenci odkazu v zákoně, pro lepší informovanost české veřejnosti by bylo vhodné jejich jmenovité uvedení přímo v národním předpisu.</w:t>
      </w:r>
    </w:p>
    <w:p w:rsidR="001B266B" w:rsidRDefault="001B266B" w:rsidP="0099545D">
      <w:pPr>
        <w:pStyle w:val="Odstavecseseznamem"/>
        <w:tabs>
          <w:tab w:val="left" w:pos="567"/>
        </w:tabs>
        <w:spacing w:after="0" w:line="240" w:lineRule="auto"/>
        <w:ind w:left="0"/>
        <w:contextualSpacing w:val="0"/>
        <w:jc w:val="both"/>
      </w:pPr>
    </w:p>
    <w:p w:rsidR="00DF4040" w:rsidRPr="001221E6" w:rsidRDefault="00DF4040" w:rsidP="00864678">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1221E6">
        <w:rPr>
          <w:b/>
        </w:rPr>
        <w:lastRenderedPageBreak/>
        <w:t>Připomínka k § 16 odst. 7</w:t>
      </w:r>
    </w:p>
    <w:p w:rsidR="00D86343" w:rsidRPr="001221E6" w:rsidRDefault="00DF4040" w:rsidP="00DF4040">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1221E6">
        <w:t xml:space="preserve">Požadujeme </w:t>
      </w:r>
      <w:r w:rsidR="00D86343" w:rsidRPr="001221E6">
        <w:t>v § 16 zákona</w:t>
      </w:r>
      <w:r w:rsidR="00561947">
        <w:t xml:space="preserve"> o</w:t>
      </w:r>
      <w:r w:rsidR="00D86343" w:rsidRPr="001221E6">
        <w:t>dstranit odst. 7 bez náhrady.</w:t>
      </w:r>
    </w:p>
    <w:p w:rsidR="00DF4040" w:rsidRDefault="00DF4040" w:rsidP="00DF4040">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5518E2" w:rsidRPr="005518E2" w:rsidRDefault="005518E2" w:rsidP="00DF4040">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strike/>
        </w:rPr>
      </w:pPr>
      <w:r w:rsidRPr="005518E2">
        <w:rPr>
          <w:strike/>
        </w:rPr>
        <w:t>(7) Právnická a fyzická osoba je povinna, je-li to pro ni technicky možné a ekonomicky přijatelné, u nových staveb nebo při změnách stávajících staveb využít pro vytápění teplo ze soustavy zásobování tepelnou energií nebo zdroje, který není stacionárním zdrojem.</w:t>
      </w:r>
    </w:p>
    <w:p w:rsidR="005518E2" w:rsidRPr="001221E6" w:rsidRDefault="005518E2" w:rsidP="00DF4040">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DF4040" w:rsidRDefault="00DF4040" w:rsidP="00864678">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1221E6">
        <w:rPr>
          <w:b/>
        </w:rPr>
        <w:t>Odůvodnění:</w:t>
      </w:r>
    </w:p>
    <w:p w:rsidR="00C079A3" w:rsidRDefault="00C079A3" w:rsidP="00C079A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C079A3">
        <w:t>Smyslem zákona o ochraně ovzduší by mělo být nastavení rámcových podmínek v oblasti ochrany ovzduší. Obecně by tento rámec měl každé činnosti s dopadem na kvalitu ovzduší stanovovat jasné podmínky tak, aby tento dopad byl objektivně měřitelný. Pro každou takovou činnost by měl stanovovat závazné podmínky, které je třeba dodržovat (optimálně v rozsahu odpovídajícímu míře dopadů na kvalitu ovzduší s cílem eliminovat tyto dopady v dlouhodobém časovém horizontu) a</w:t>
      </w:r>
      <w:r>
        <w:t> </w:t>
      </w:r>
      <w:r w:rsidRPr="00C079A3">
        <w:t>definovat způsob dohledu nad jejich dodržováním (státní orgány). Každý stávající nebo potenciální uživatel takové činnosti by se tak na základě vlastního uvážení mohl rozhodnout, kterou činnost pro uspokojování svých potřeb zvolí.</w:t>
      </w:r>
    </w:p>
    <w:p w:rsidR="00C079A3" w:rsidRDefault="00C079A3" w:rsidP="00C079A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C079A3">
        <w:t>Zákon v § 16 odst. 7 předjímá, že teplo dodávané ze soustavy zásobování tepelnou energií má menší dopady na kvalitu ovzduší než je tomu u ostatních technologií a nutí k jeho přednostnímu využívání. Za tímto účelem dokonce zákon obsahuje zmocnění k vydání zvláštního předpisu, který by tuto ekonomickou výhodnost dokázal! Dané ustanovení nelze vykládat jinak než jako diskriminační a z pohledu ústavně zaručených práv zcela nepřijatelné, neboť stanovuje co je pro kterého občana ekonomicky výhodné či nevýhodné. Zákon by měl prioritně sledovat ochranu ovzduší (při extrémní pohledu) bez ohledu na nákladovost vyhovujícího řešení.</w:t>
      </w:r>
    </w:p>
    <w:p w:rsidR="00C079A3" w:rsidRDefault="00C079A3" w:rsidP="00C079A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C079A3">
        <w:t>Hodnocení technické, ekonomické a ekologické proveditelnosti dodávek energie prostřednictvím alternativních systémů upravuje zákon 406/2000 Sb. o hospodaření energií, kam případně takovéto posouzení věcně přísluší.</w:t>
      </w:r>
    </w:p>
    <w:p w:rsidR="0079393C" w:rsidRPr="001221E6" w:rsidRDefault="0079393C" w:rsidP="0079393C">
      <w:pPr>
        <w:pStyle w:val="Odstavecseseznamem"/>
        <w:tabs>
          <w:tab w:val="left" w:pos="567"/>
        </w:tabs>
        <w:spacing w:after="0" w:line="240" w:lineRule="auto"/>
        <w:ind w:left="0"/>
        <w:contextualSpacing w:val="0"/>
        <w:jc w:val="both"/>
      </w:pPr>
    </w:p>
    <w:p w:rsidR="0079393C" w:rsidRPr="001221E6" w:rsidRDefault="0079393C" w:rsidP="00864678">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1221E6">
        <w:rPr>
          <w:b/>
        </w:rPr>
        <w:t>Připomínka k § 16 odst. 8 (nově 9)</w:t>
      </w:r>
    </w:p>
    <w:p w:rsidR="0079393C" w:rsidRDefault="0079393C" w:rsidP="0079393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1221E6">
        <w:t>Požadujeme odstranit ze zákona zmocnění pro ministerstvo, týkající se pravidel pro stanovení ekonomické přijatelnosti využití tepla ze soustavy zásobování tepelnou energií nebo zdroje energie, který není stacionárním zdrojem.</w:t>
      </w:r>
    </w:p>
    <w:p w:rsidR="001B266B" w:rsidRPr="001221E6" w:rsidRDefault="001B266B" w:rsidP="0079393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79393C" w:rsidRPr="001221E6" w:rsidRDefault="0079393C" w:rsidP="00864678">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1221E6">
        <w:rPr>
          <w:b/>
        </w:rPr>
        <w:t>Úplné znění:</w:t>
      </w:r>
    </w:p>
    <w:p w:rsidR="0079393C" w:rsidRPr="001221E6" w:rsidRDefault="0079393C" w:rsidP="0079393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1221E6">
        <w:t>(9) Ministerstvo vyhláškou stanoví požadavky na kvalitu paliv a požadavky na způsob prokazování jejich plnění, obsahové náležitosti hlášení o kvalitě paliv</w:t>
      </w:r>
      <w:r w:rsidRPr="001221E6">
        <w:rPr>
          <w:strike/>
        </w:rPr>
        <w:t xml:space="preserve"> a pravidla pro stanovení ekonomické přijatelnosti využití tepla ze soustavy zásobování tepelnou energií nebo zdroje energie, který není stacionárním zdrojem</w:t>
      </w:r>
      <w:r w:rsidRPr="001221E6">
        <w:t>.</w:t>
      </w:r>
    </w:p>
    <w:p w:rsidR="0079393C" w:rsidRPr="001221E6" w:rsidRDefault="0079393C" w:rsidP="0079393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79393C" w:rsidRPr="001221E6" w:rsidRDefault="0079393C" w:rsidP="00864678">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1221E6">
        <w:rPr>
          <w:b/>
        </w:rPr>
        <w:t>Odůvodnění:</w:t>
      </w:r>
    </w:p>
    <w:p w:rsidR="0079393C" w:rsidRPr="001221E6" w:rsidRDefault="0079393C" w:rsidP="0079393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1221E6">
        <w:t>Viz připomínka</w:t>
      </w:r>
      <w:r w:rsidR="00C079A3">
        <w:t xml:space="preserve"> k § 16 odst. 7.</w:t>
      </w:r>
    </w:p>
    <w:p w:rsidR="0079393C" w:rsidRPr="001221E6" w:rsidRDefault="0079393C" w:rsidP="00282BE5">
      <w:pPr>
        <w:pStyle w:val="Odstavecseseznamem"/>
        <w:tabs>
          <w:tab w:val="left" w:pos="567"/>
        </w:tabs>
        <w:spacing w:after="0" w:line="240" w:lineRule="auto"/>
        <w:ind w:left="0"/>
        <w:contextualSpacing w:val="0"/>
        <w:jc w:val="both"/>
      </w:pPr>
    </w:p>
    <w:p w:rsidR="00282BE5" w:rsidRPr="001221E6" w:rsidRDefault="00282BE5" w:rsidP="00864678">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1221E6">
        <w:rPr>
          <w:b/>
        </w:rPr>
        <w:t>Připomínka k </w:t>
      </w:r>
      <w:r w:rsidR="001E5462" w:rsidRPr="001221E6">
        <w:rPr>
          <w:b/>
        </w:rPr>
        <w:t>§ 17 odst. 1 písm. h)</w:t>
      </w:r>
      <w:r w:rsidR="00751BE3" w:rsidRPr="001221E6">
        <w:rPr>
          <w:b/>
        </w:rPr>
        <w:t xml:space="preserve"> – odborně způsobilá osoba</w:t>
      </w:r>
    </w:p>
    <w:p w:rsidR="0057672A" w:rsidRDefault="00BE48F8" w:rsidP="00282BE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t>V § 17 odst. 1 písm. h) za text (dále jen oprávněná osoba) doplnit text: „</w:t>
      </w:r>
      <w:r w:rsidRPr="00BE48F8">
        <w:t>nebo osoby, které bylo vydáno rozhodnutí o autorizaci podle § 32</w:t>
      </w:r>
      <w:r w:rsidR="00C079A3">
        <w:t xml:space="preserve"> </w:t>
      </w:r>
      <w:r w:rsidR="00C079A3" w:rsidRPr="00C079A3">
        <w:t>(dále jen „autorizovaná osoba“)</w:t>
      </w:r>
      <w:r>
        <w:t>“ a za slova „odborně způsobilou“ doplnit text „nebo autorizovanou osobou“.</w:t>
      </w:r>
    </w:p>
    <w:p w:rsidR="0057672A" w:rsidRDefault="0057672A" w:rsidP="00282BE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BE48F8" w:rsidRPr="001221E6" w:rsidRDefault="00BE48F8" w:rsidP="00BE48F8">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1221E6">
        <w:rPr>
          <w:b/>
        </w:rPr>
        <w:t>Úplné znění:</w:t>
      </w:r>
    </w:p>
    <w:p w:rsidR="0057672A" w:rsidRDefault="0057672A" w:rsidP="00282BE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57672A">
        <w:t>h) provádět jednou za dva kalendářní roky prostřednictvím osoby, která byla proškolena výrobcem spalovacího stacionárního zdroje a má od něj udělené oprávnění k jeho instalaci, provozu a</w:t>
      </w:r>
      <w:r w:rsidR="00BE48F8">
        <w:t> </w:t>
      </w:r>
      <w:r w:rsidRPr="0057672A">
        <w:t>údržbě (dále jen „odborně způsobilá osoba “)</w:t>
      </w:r>
      <w:r w:rsidR="00475E3F">
        <w:t xml:space="preserve"> </w:t>
      </w:r>
      <w:r w:rsidR="00475E3F" w:rsidRPr="00BE48F8">
        <w:rPr>
          <w:b/>
        </w:rPr>
        <w:t>nebo osoby, které bylo vydáno rozhodnutí o</w:t>
      </w:r>
      <w:r w:rsidR="00BE48F8">
        <w:rPr>
          <w:b/>
        </w:rPr>
        <w:t> </w:t>
      </w:r>
      <w:r w:rsidR="00475E3F" w:rsidRPr="00BE48F8">
        <w:rPr>
          <w:b/>
        </w:rPr>
        <w:t xml:space="preserve">autorizaci </w:t>
      </w:r>
      <w:r w:rsidR="00BE48F8">
        <w:rPr>
          <w:b/>
        </w:rPr>
        <w:t>p</w:t>
      </w:r>
      <w:r w:rsidR="00475E3F" w:rsidRPr="00BE48F8">
        <w:rPr>
          <w:b/>
        </w:rPr>
        <w:t>odle § 32</w:t>
      </w:r>
      <w:r w:rsidR="00C079A3">
        <w:rPr>
          <w:b/>
        </w:rPr>
        <w:t xml:space="preserve"> </w:t>
      </w:r>
      <w:r w:rsidR="00C079A3" w:rsidRPr="00C079A3">
        <w:rPr>
          <w:b/>
        </w:rPr>
        <w:t>(dále jen „autorizovaná osoba“)</w:t>
      </w:r>
      <w:r w:rsidRPr="00BE48F8">
        <w:rPr>
          <w:b/>
        </w:rPr>
        <w:t>,</w:t>
      </w:r>
      <w:r w:rsidRPr="0057672A">
        <w:t xml:space="preserve"> kontrolu technického stavu a provozu spalovacího stacionárního zdroje na pevná paliva o jmenovitém tepelném příkonu od 10 do 300 kW včetně, který slouží jako zdroj tepla pro teplovodní soustavu ústředního vytápění, a předkládat na vyžádání obecnímu úřadu obce s rozšířenou působností doklad o provedení této kontroly </w:t>
      </w:r>
      <w:r w:rsidRPr="0057672A">
        <w:lastRenderedPageBreak/>
        <w:t xml:space="preserve">vystavený odborně způsobilou </w:t>
      </w:r>
      <w:r w:rsidR="00BE48F8" w:rsidRPr="00BE48F8">
        <w:rPr>
          <w:b/>
        </w:rPr>
        <w:t xml:space="preserve">nebo autorizovanou </w:t>
      </w:r>
      <w:r w:rsidRPr="00BE48F8">
        <w:rPr>
          <w:b/>
        </w:rPr>
        <w:t>osobou</w:t>
      </w:r>
      <w:r w:rsidRPr="0057672A">
        <w:t xml:space="preserve"> potvrzující, že stacionární zdroj je instalován, provozován a udržován v souladu s pokyny výrobce a tímto zákonem.</w:t>
      </w:r>
    </w:p>
    <w:p w:rsidR="0057672A" w:rsidRDefault="0057672A" w:rsidP="00282BE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282BE5" w:rsidRPr="001221E6" w:rsidRDefault="00282BE5" w:rsidP="00864678">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1221E6">
        <w:rPr>
          <w:b/>
        </w:rPr>
        <w:t>Odůvodnění:</w:t>
      </w:r>
    </w:p>
    <w:p w:rsidR="0057672A" w:rsidRPr="001221E6" w:rsidRDefault="00475E3F" w:rsidP="00282BE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t xml:space="preserve">Navrhovaná úprava je východiskem pro případy, kdy ustanovení zákona nebude splnitelné. </w:t>
      </w:r>
      <w:proofErr w:type="gramStart"/>
      <w:r>
        <w:t xml:space="preserve">Např.  </w:t>
      </w:r>
      <w:r w:rsidR="007E231F">
        <w:t>při</w:t>
      </w:r>
      <w:proofErr w:type="gramEnd"/>
      <w:r w:rsidR="007E231F">
        <w:t xml:space="preserve"> </w:t>
      </w:r>
      <w:r>
        <w:t>neexistenc</w:t>
      </w:r>
      <w:r w:rsidR="007E231F">
        <w:t>i</w:t>
      </w:r>
      <w:r>
        <w:t xml:space="preserve"> odborně způsobilé osoby proškolené výrobcem</w:t>
      </w:r>
      <w:r w:rsidR="00BE48F8">
        <w:t>,</w:t>
      </w:r>
      <w:r>
        <w:t xml:space="preserve"> z důvodu ukončení aktivit výrobce apod.</w:t>
      </w:r>
      <w:r w:rsidR="00C079A3">
        <w:t xml:space="preserve"> </w:t>
      </w:r>
      <w:r w:rsidR="00C079A3" w:rsidRPr="00C079A3">
        <w:t>Alternativně lze uvažovat i o využití energetických specialistů dle zákona č. 406/2000 Sb., o hospodaření energií.</w:t>
      </w:r>
    </w:p>
    <w:p w:rsidR="00AC280E" w:rsidRDefault="00AC280E" w:rsidP="00AC280E">
      <w:pPr>
        <w:pStyle w:val="Odstavecseseznamem"/>
        <w:tabs>
          <w:tab w:val="left" w:pos="567"/>
        </w:tabs>
        <w:spacing w:after="0" w:line="240" w:lineRule="auto"/>
        <w:ind w:left="0"/>
        <w:contextualSpacing w:val="0"/>
        <w:jc w:val="both"/>
      </w:pPr>
    </w:p>
    <w:p w:rsidR="00C11A85" w:rsidRPr="001221E6" w:rsidRDefault="00C11A85" w:rsidP="00C11A85">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1221E6">
        <w:rPr>
          <w:b/>
        </w:rPr>
        <w:t xml:space="preserve">Připomínka k § 17 odst. </w:t>
      </w:r>
      <w:r>
        <w:rPr>
          <w:b/>
        </w:rPr>
        <w:t>1</w:t>
      </w:r>
      <w:r w:rsidRPr="001221E6">
        <w:rPr>
          <w:b/>
        </w:rPr>
        <w:t xml:space="preserve">) </w:t>
      </w:r>
      <w:r w:rsidR="00260FC6">
        <w:rPr>
          <w:b/>
        </w:rPr>
        <w:t>písmeno g</w:t>
      </w:r>
      <w:r>
        <w:rPr>
          <w:b/>
        </w:rPr>
        <w:t>)</w:t>
      </w:r>
    </w:p>
    <w:p w:rsidR="00C11A85" w:rsidRDefault="00C11A85" w:rsidP="00C11A8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t xml:space="preserve">V § 17 odst. </w:t>
      </w:r>
      <w:r w:rsidR="00260FC6">
        <w:t>1 písm. g</w:t>
      </w:r>
      <w:r>
        <w:t>) se za stávající znění doplňuje následující text:</w:t>
      </w:r>
    </w:p>
    <w:p w:rsidR="00C11A85" w:rsidRDefault="00C11A85" w:rsidP="00C11A8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Pr>
          <w:rFonts w:ascii="Arial" w:hAnsi="Arial" w:cs="Arial"/>
          <w:b/>
        </w:rPr>
        <w:t xml:space="preserve">„a pro účely provedení kontroly </w:t>
      </w:r>
      <w:r w:rsidRPr="005060DA">
        <w:rPr>
          <w:rFonts w:ascii="Arial" w:hAnsi="Arial" w:cs="Arial"/>
          <w:b/>
        </w:rPr>
        <w:t xml:space="preserve">technického stavu a provozu spalovacího stacionárního zdroje </w:t>
      </w:r>
      <w:r w:rsidR="00494C53">
        <w:rPr>
          <w:rFonts w:ascii="Arial" w:hAnsi="Arial" w:cs="Arial"/>
          <w:b/>
        </w:rPr>
        <w:t>po</w:t>
      </w:r>
      <w:r w:rsidR="00260FC6">
        <w:rPr>
          <w:rFonts w:ascii="Arial" w:hAnsi="Arial" w:cs="Arial"/>
          <w:b/>
        </w:rPr>
        <w:t xml:space="preserve">dle písmena g) a kontroly </w:t>
      </w:r>
      <w:r w:rsidR="00494C53">
        <w:rPr>
          <w:rFonts w:ascii="Arial" w:hAnsi="Arial" w:cs="Arial"/>
          <w:b/>
        </w:rPr>
        <w:t>po</w:t>
      </w:r>
      <w:r w:rsidR="00260FC6">
        <w:rPr>
          <w:rFonts w:ascii="Arial" w:hAnsi="Arial" w:cs="Arial"/>
          <w:b/>
        </w:rPr>
        <w:t>dle odstavce 2 předložit doklad o</w:t>
      </w:r>
      <w:r w:rsidR="00565008">
        <w:rPr>
          <w:rFonts w:ascii="Arial" w:hAnsi="Arial" w:cs="Arial"/>
          <w:b/>
        </w:rPr>
        <w:t> </w:t>
      </w:r>
      <w:r w:rsidR="00260FC6">
        <w:rPr>
          <w:rFonts w:ascii="Arial" w:hAnsi="Arial" w:cs="Arial"/>
          <w:b/>
        </w:rPr>
        <w:t>kvalitě použitého paliva.</w:t>
      </w:r>
      <w:r>
        <w:t>“</w:t>
      </w:r>
    </w:p>
    <w:p w:rsidR="00C11A85" w:rsidRDefault="00C11A85" w:rsidP="00C11A8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C11A85" w:rsidRPr="001221E6" w:rsidRDefault="00C11A85" w:rsidP="00C11A85">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1221E6">
        <w:rPr>
          <w:b/>
        </w:rPr>
        <w:t>Úplné znění:</w:t>
      </w:r>
    </w:p>
    <w:p w:rsidR="00C11A85" w:rsidRDefault="00260FC6" w:rsidP="00C11A8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Arial" w:hAnsi="Arial" w:cs="Arial"/>
          <w:b/>
        </w:rPr>
      </w:pPr>
      <w:r w:rsidRPr="005060DA">
        <w:rPr>
          <w:rFonts w:ascii="Arial" w:hAnsi="Arial" w:cs="Arial"/>
        </w:rPr>
        <w:t xml:space="preserve">g) provozovat spalovací stacionární zdroj na pevná paliva o jmenovitém tepelném příkonu od </w:t>
      </w:r>
      <w:r w:rsidR="0014700F" w:rsidRPr="0014700F">
        <w:rPr>
          <w:rFonts w:ascii="Arial" w:hAnsi="Arial" w:cs="Arial"/>
        </w:rPr>
        <w:t>10</w:t>
      </w:r>
      <w:r w:rsidRPr="005060DA">
        <w:rPr>
          <w:rFonts w:ascii="Arial" w:hAnsi="Arial" w:cs="Arial"/>
        </w:rPr>
        <w:t xml:space="preserve"> do 300 kW včetně, který slouží jako zdroj tepla pro teplovodní soustavu ústředního vytápění, v souladu s minimálními požadavky uvedenými v příloze č. 11 k tomuto zákonu</w:t>
      </w:r>
      <w:r>
        <w:rPr>
          <w:rFonts w:ascii="Arial" w:hAnsi="Arial" w:cs="Arial"/>
        </w:rPr>
        <w:t xml:space="preserve"> </w:t>
      </w:r>
      <w:r>
        <w:rPr>
          <w:rFonts w:ascii="Arial" w:hAnsi="Arial" w:cs="Arial"/>
          <w:b/>
        </w:rPr>
        <w:t>a</w:t>
      </w:r>
      <w:r w:rsidR="00565008">
        <w:rPr>
          <w:rFonts w:ascii="Arial" w:hAnsi="Arial" w:cs="Arial"/>
          <w:b/>
        </w:rPr>
        <w:t> </w:t>
      </w:r>
      <w:r>
        <w:rPr>
          <w:rFonts w:ascii="Arial" w:hAnsi="Arial" w:cs="Arial"/>
          <w:b/>
        </w:rPr>
        <w:t xml:space="preserve">pro účely provedení kontroly </w:t>
      </w:r>
      <w:r w:rsidRPr="005060DA">
        <w:rPr>
          <w:rFonts w:ascii="Arial" w:hAnsi="Arial" w:cs="Arial"/>
          <w:b/>
        </w:rPr>
        <w:t xml:space="preserve">technického stavu a provozu spalovacího stacionárního zdroje </w:t>
      </w:r>
      <w:r w:rsidR="00494C53">
        <w:rPr>
          <w:rFonts w:ascii="Arial" w:hAnsi="Arial" w:cs="Arial"/>
          <w:b/>
        </w:rPr>
        <w:t>po</w:t>
      </w:r>
      <w:r>
        <w:rPr>
          <w:rFonts w:ascii="Arial" w:hAnsi="Arial" w:cs="Arial"/>
          <w:b/>
        </w:rPr>
        <w:t xml:space="preserve">dle písmena g) a kontroly </w:t>
      </w:r>
      <w:r w:rsidR="00494C53">
        <w:rPr>
          <w:rFonts w:ascii="Arial" w:hAnsi="Arial" w:cs="Arial"/>
          <w:b/>
        </w:rPr>
        <w:t>po</w:t>
      </w:r>
      <w:r>
        <w:rPr>
          <w:rFonts w:ascii="Arial" w:hAnsi="Arial" w:cs="Arial"/>
          <w:b/>
        </w:rPr>
        <w:t>dle odstavce 2 předložit doklad o</w:t>
      </w:r>
      <w:r w:rsidR="00565008">
        <w:rPr>
          <w:rFonts w:ascii="Arial" w:hAnsi="Arial" w:cs="Arial"/>
          <w:b/>
        </w:rPr>
        <w:t> </w:t>
      </w:r>
      <w:r>
        <w:rPr>
          <w:rFonts w:ascii="Arial" w:hAnsi="Arial" w:cs="Arial"/>
          <w:b/>
        </w:rPr>
        <w:t>kvalitě použitého paliva.</w:t>
      </w:r>
    </w:p>
    <w:p w:rsidR="00260FC6" w:rsidRDefault="00260FC6" w:rsidP="00C11A8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C11A85" w:rsidRPr="001221E6" w:rsidRDefault="00C11A85" w:rsidP="00C11A85">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1221E6">
        <w:rPr>
          <w:b/>
        </w:rPr>
        <w:t>Odůvodnění:</w:t>
      </w:r>
    </w:p>
    <w:p w:rsidR="00C11A85" w:rsidRPr="001221E6" w:rsidRDefault="00494C53" w:rsidP="00C11A8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t xml:space="preserve">Jak v rámci </w:t>
      </w:r>
      <w:r w:rsidR="0014700F" w:rsidRPr="0014700F">
        <w:t>provedení kontroly technického stavu a provozu spalovacího stacionárního zdroje dle písmena g), tak i při kontrole podle odstavce 2 v případě důvodné</w:t>
      </w:r>
      <w:r w:rsidR="00C4220C">
        <w:t>ho</w:t>
      </w:r>
      <w:r w:rsidR="0014700F" w:rsidRPr="0014700F">
        <w:t xml:space="preserve"> podezření, že stacionární zdroj je provozován v rozporu s povinnostmi stanovenými tímto zákonem</w:t>
      </w:r>
      <w:r>
        <w:t xml:space="preserve"> by měla být provedena kontrola používaného paliva, zda </w:t>
      </w:r>
      <w:r w:rsidR="0014700F" w:rsidRPr="0014700F">
        <w:t>splňují požadavky na kvalitu paliv stanovené prováděcím právním předpisem a jsou určená výrobcem stacionárního zdroje nebo paliva uvedená v povolení provozu</w:t>
      </w:r>
      <w:r>
        <w:t xml:space="preserve">. </w:t>
      </w:r>
      <w:r w:rsidR="00D53803">
        <w:t>Zejména u pevných paliv nelze reálně předpokládat, že odborně způsobilá osoba pro kontrolu podle písmena g) ani osoba pověřená obecním úřadem s rozšířenou působností u</w:t>
      </w:r>
      <w:r w:rsidR="00565008">
        <w:t> </w:t>
      </w:r>
      <w:r w:rsidR="00D53803">
        <w:t>kontroly podle odst. 2 nebude schopna na místě analyzovat, zda se v daném případě jedná o</w:t>
      </w:r>
      <w:r w:rsidR="00565008">
        <w:t> </w:t>
      </w:r>
      <w:r w:rsidR="00D53803">
        <w:t>povolený druh paliva a</w:t>
      </w:r>
      <w:r w:rsidR="00C4220C">
        <w:t xml:space="preserve"> proto by měl</w:t>
      </w:r>
      <w:r w:rsidR="00D53803">
        <w:t xml:space="preserve"> </w:t>
      </w:r>
      <w:r w:rsidR="00C4220C">
        <w:t>p</w:t>
      </w:r>
      <w:r w:rsidR="00D53803">
        <w:t xml:space="preserve">rovozovatel takovéhoto zdroje kvalitu </w:t>
      </w:r>
      <w:r w:rsidR="00C4220C">
        <w:t xml:space="preserve">paliva </w:t>
      </w:r>
      <w:r w:rsidR="00D53803">
        <w:t>proká</w:t>
      </w:r>
      <w:r w:rsidR="00C4220C">
        <w:t>zat příslušným dokladem. Podle našeho názoru to je důležité především u stacionárních zdrojů na pevná paliva, protože ty způsobují největší znečistění.</w:t>
      </w:r>
    </w:p>
    <w:p w:rsidR="00C11A85" w:rsidRDefault="00C11A85" w:rsidP="00AC280E">
      <w:pPr>
        <w:pStyle w:val="Odstavecseseznamem"/>
        <w:tabs>
          <w:tab w:val="left" w:pos="567"/>
        </w:tabs>
        <w:spacing w:after="0" w:line="240" w:lineRule="auto"/>
        <w:ind w:left="0"/>
        <w:contextualSpacing w:val="0"/>
        <w:jc w:val="both"/>
      </w:pPr>
    </w:p>
    <w:p w:rsidR="00DA0843" w:rsidRPr="001221E6" w:rsidRDefault="00DA0843" w:rsidP="00DA0843">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1221E6">
        <w:rPr>
          <w:b/>
        </w:rPr>
        <w:t xml:space="preserve">Připomínka k § 17 odst. </w:t>
      </w:r>
      <w:r>
        <w:rPr>
          <w:b/>
        </w:rPr>
        <w:t>7</w:t>
      </w:r>
      <w:r w:rsidRPr="001221E6">
        <w:rPr>
          <w:b/>
        </w:rPr>
        <w:t xml:space="preserve">) </w:t>
      </w:r>
      <w:r w:rsidR="00C11A85">
        <w:rPr>
          <w:b/>
        </w:rPr>
        <w:t>–</w:t>
      </w:r>
      <w:r>
        <w:rPr>
          <w:b/>
        </w:rPr>
        <w:t xml:space="preserve"> </w:t>
      </w:r>
      <w:r w:rsidR="00C11A85">
        <w:rPr>
          <w:b/>
        </w:rPr>
        <w:t xml:space="preserve">způsob </w:t>
      </w:r>
      <w:r>
        <w:rPr>
          <w:b/>
        </w:rPr>
        <w:t>provedení kontroly</w:t>
      </w:r>
    </w:p>
    <w:p w:rsidR="00CC6D5F" w:rsidRDefault="00DA0843" w:rsidP="00DA084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t>V § 17 odst. 7 se za stávající znění doplňuje následující text:</w:t>
      </w:r>
    </w:p>
    <w:p w:rsidR="00DA0843" w:rsidRDefault="00CC6D5F" w:rsidP="00DA084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Pr>
          <w:rFonts w:ascii="Arial" w:hAnsi="Arial" w:cs="Arial"/>
          <w:b/>
        </w:rPr>
        <w:t xml:space="preserve">„a </w:t>
      </w:r>
      <w:r w:rsidR="00C11A85">
        <w:rPr>
          <w:rFonts w:ascii="Arial" w:hAnsi="Arial" w:cs="Arial"/>
          <w:b/>
        </w:rPr>
        <w:t>způsob</w:t>
      </w:r>
      <w:r>
        <w:rPr>
          <w:rFonts w:ascii="Arial" w:hAnsi="Arial" w:cs="Arial"/>
          <w:b/>
        </w:rPr>
        <w:t xml:space="preserve"> provedení kontroly </w:t>
      </w:r>
      <w:r w:rsidRPr="005060DA">
        <w:rPr>
          <w:rFonts w:ascii="Arial" w:hAnsi="Arial" w:cs="Arial"/>
          <w:b/>
        </w:rPr>
        <w:t>technického stavu a provozu spalovacího stacionárního zdroje na pevná paliva o jmenovitém tepelném příkonu od 10 do 300 kW včetně, který slouží jako zdroj tepla pro teplovodní soustavu ústředního vytápění</w:t>
      </w:r>
      <w:r>
        <w:rPr>
          <w:rFonts w:ascii="Arial" w:hAnsi="Arial" w:cs="Arial"/>
          <w:b/>
        </w:rPr>
        <w:t xml:space="preserve"> a náležitosti dokladu o provedení této</w:t>
      </w:r>
      <w:r w:rsidRPr="005060DA">
        <w:rPr>
          <w:rFonts w:ascii="Arial" w:hAnsi="Arial" w:cs="Arial"/>
          <w:b/>
        </w:rPr>
        <w:t xml:space="preserve"> kontroly</w:t>
      </w:r>
      <w:r w:rsidRPr="005060DA">
        <w:rPr>
          <w:rFonts w:ascii="Arial" w:hAnsi="Arial" w:cs="Arial"/>
        </w:rPr>
        <w:t>.</w:t>
      </w:r>
      <w:r>
        <w:t>“</w:t>
      </w:r>
    </w:p>
    <w:p w:rsidR="00CC6D5F" w:rsidRDefault="00CC6D5F" w:rsidP="00DA084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DA0843" w:rsidRPr="001221E6" w:rsidRDefault="00DA0843" w:rsidP="00DA0843">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1221E6">
        <w:rPr>
          <w:b/>
        </w:rPr>
        <w:t>Úplné znění:</w:t>
      </w:r>
    </w:p>
    <w:p w:rsidR="00DA0843" w:rsidRDefault="00CC6D5F" w:rsidP="00DA084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Arial" w:hAnsi="Arial" w:cs="Arial"/>
          <w:b/>
        </w:rPr>
      </w:pPr>
      <w:r w:rsidRPr="005060DA">
        <w:rPr>
          <w:rFonts w:ascii="Arial" w:hAnsi="Arial" w:cs="Arial"/>
        </w:rPr>
        <w:t>(7) Ministerstvo vyhláškou stanoví náležitosti provozní evidence a souhrnné provozní evidence</w:t>
      </w:r>
      <w:r>
        <w:rPr>
          <w:rFonts w:ascii="Arial" w:hAnsi="Arial" w:cs="Arial"/>
        </w:rPr>
        <w:t xml:space="preserve"> </w:t>
      </w:r>
      <w:r w:rsidR="0014700F" w:rsidRPr="0014700F">
        <w:rPr>
          <w:rFonts w:ascii="Arial" w:hAnsi="Arial" w:cs="Arial"/>
          <w:b/>
        </w:rPr>
        <w:t xml:space="preserve">a </w:t>
      </w:r>
      <w:r w:rsidR="00C11A85">
        <w:rPr>
          <w:rFonts w:ascii="Arial" w:hAnsi="Arial" w:cs="Arial"/>
          <w:b/>
        </w:rPr>
        <w:t>způsob</w:t>
      </w:r>
      <w:r>
        <w:rPr>
          <w:rFonts w:ascii="Arial" w:hAnsi="Arial" w:cs="Arial"/>
          <w:b/>
        </w:rPr>
        <w:t xml:space="preserve"> provedení kontroly </w:t>
      </w:r>
      <w:r w:rsidRPr="005060DA">
        <w:rPr>
          <w:rFonts w:ascii="Arial" w:hAnsi="Arial" w:cs="Arial"/>
          <w:b/>
        </w:rPr>
        <w:t>technického stavu a provozu spalovacího stacionárního zdroje na pevná paliva o jmenovitém tepelném příkonu od 10 do 300 kW včetně, který slouží jako zdroj tepla pro teplovodní soustavu ústředního vytápění</w:t>
      </w:r>
      <w:r>
        <w:rPr>
          <w:rFonts w:ascii="Arial" w:hAnsi="Arial" w:cs="Arial"/>
          <w:b/>
        </w:rPr>
        <w:t xml:space="preserve"> a</w:t>
      </w:r>
      <w:r w:rsidR="00565008">
        <w:rPr>
          <w:rFonts w:ascii="Arial" w:hAnsi="Arial" w:cs="Arial"/>
          <w:b/>
        </w:rPr>
        <w:t> </w:t>
      </w:r>
      <w:r>
        <w:rPr>
          <w:rFonts w:ascii="Arial" w:hAnsi="Arial" w:cs="Arial"/>
          <w:b/>
        </w:rPr>
        <w:t>náležitosti dokladu o provedení této</w:t>
      </w:r>
      <w:r w:rsidRPr="005060DA">
        <w:rPr>
          <w:rFonts w:ascii="Arial" w:hAnsi="Arial" w:cs="Arial"/>
          <w:b/>
        </w:rPr>
        <w:t xml:space="preserve"> kontroly</w:t>
      </w:r>
      <w:r>
        <w:rPr>
          <w:rFonts w:ascii="Arial" w:hAnsi="Arial" w:cs="Arial"/>
          <w:b/>
        </w:rPr>
        <w:t>.</w:t>
      </w:r>
    </w:p>
    <w:p w:rsidR="00CC6D5F" w:rsidRDefault="00CC6D5F" w:rsidP="00DA084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DA0843" w:rsidRPr="001221E6" w:rsidRDefault="00DA0843" w:rsidP="00DA0843">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1221E6">
        <w:rPr>
          <w:b/>
        </w:rPr>
        <w:t>Odůvodnění:</w:t>
      </w:r>
    </w:p>
    <w:p w:rsidR="00DA0843" w:rsidRPr="001221E6" w:rsidRDefault="00CC6D5F" w:rsidP="00DA084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t>Ministerstvem životního prostředí předložený návrh rozšiřuje znění tohoto odstavce pouze o</w:t>
      </w:r>
      <w:r w:rsidR="00565008">
        <w:t> </w:t>
      </w:r>
      <w:r>
        <w:t xml:space="preserve">náležitosti dokladu </w:t>
      </w:r>
      <w:r w:rsidR="0014700F" w:rsidRPr="0014700F">
        <w:t>o provedení kontroly technického stavu a provozu spalovacího stacionárního zdroje na pevná paliva</w:t>
      </w:r>
      <w:r w:rsidR="00DA0843">
        <w:t>.</w:t>
      </w:r>
      <w:r>
        <w:t xml:space="preserve"> Pro objektivní </w:t>
      </w:r>
      <w:r w:rsidR="00C11A85">
        <w:t>posouzení technického stavu takovéhoto</w:t>
      </w:r>
      <w:r w:rsidR="00C11A85" w:rsidRPr="00C11A71">
        <w:t xml:space="preserve"> zdroje na pevná </w:t>
      </w:r>
      <w:r w:rsidR="00C11A85" w:rsidRPr="00C11A71">
        <w:lastRenderedPageBreak/>
        <w:t>paliva</w:t>
      </w:r>
      <w:r w:rsidR="00C11A85">
        <w:t xml:space="preserve"> a jeho provozu je však třeba stanovit i způsob, jak má být kontrola prováděna to </w:t>
      </w:r>
      <w:r w:rsidR="00260FC6">
        <w:t>znamená</w:t>
      </w:r>
      <w:r w:rsidR="00C11A85">
        <w:t xml:space="preserve"> za použití jakých metod.</w:t>
      </w:r>
    </w:p>
    <w:p w:rsidR="00DA0843" w:rsidRPr="001221E6" w:rsidRDefault="00DA0843" w:rsidP="00AC280E">
      <w:pPr>
        <w:pStyle w:val="Odstavecseseznamem"/>
        <w:tabs>
          <w:tab w:val="left" w:pos="567"/>
        </w:tabs>
        <w:spacing w:after="0" w:line="240" w:lineRule="auto"/>
        <w:ind w:left="0"/>
        <w:contextualSpacing w:val="0"/>
        <w:jc w:val="both"/>
      </w:pPr>
    </w:p>
    <w:p w:rsidR="00AC280E" w:rsidRPr="001221E6" w:rsidRDefault="00AC280E" w:rsidP="00AC280E">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1221E6">
        <w:rPr>
          <w:b/>
        </w:rPr>
        <w:t xml:space="preserve">Připomínka k § </w:t>
      </w:r>
      <w:r>
        <w:rPr>
          <w:b/>
        </w:rPr>
        <w:t>25</w:t>
      </w:r>
      <w:r w:rsidRPr="001221E6">
        <w:rPr>
          <w:b/>
        </w:rPr>
        <w:t xml:space="preserve"> odst. 1</w:t>
      </w:r>
      <w:r w:rsidR="00FB3E1D">
        <w:rPr>
          <w:b/>
        </w:rPr>
        <w:t>, 5</w:t>
      </w:r>
      <w:r w:rsidR="000E5BD7">
        <w:rPr>
          <w:b/>
        </w:rPr>
        <w:t xml:space="preserve">, </w:t>
      </w:r>
      <w:r w:rsidR="00FB3E1D">
        <w:rPr>
          <w:b/>
        </w:rPr>
        <w:t>7</w:t>
      </w:r>
      <w:r w:rsidR="000E5BD7">
        <w:rPr>
          <w:b/>
        </w:rPr>
        <w:t xml:space="preserve"> a 8</w:t>
      </w:r>
    </w:p>
    <w:p w:rsidR="00AC280E" w:rsidRPr="001221E6" w:rsidRDefault="00AC280E" w:rsidP="00AC280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t>V § 25 odst. 1 se doplňuje nové písmeno q), které zní: „</w:t>
      </w:r>
      <w:r w:rsidRPr="000E5BD7">
        <w:rPr>
          <w:b/>
        </w:rPr>
        <w:t xml:space="preserve">q) jako odborně způsobilá osoba </w:t>
      </w:r>
      <w:r w:rsidR="00F223EC" w:rsidRPr="000E5BD7">
        <w:rPr>
          <w:b/>
        </w:rPr>
        <w:t>neoprávněně vystaví doklad o provedení kontroly technického stavu a provozu spalovacího stacionárního zdroje na pevná paliva dle § 17 odst. 1 písm. h)</w:t>
      </w:r>
      <w:r w:rsidR="00D16F7D">
        <w:rPr>
          <w:b/>
        </w:rPr>
        <w:t xml:space="preserve"> nebo v tomto dokladu</w:t>
      </w:r>
      <w:r w:rsidR="00D16F7D" w:rsidRPr="00D16F7D">
        <w:rPr>
          <w:b/>
        </w:rPr>
        <w:t xml:space="preserve"> </w:t>
      </w:r>
      <w:r w:rsidR="00D16F7D">
        <w:rPr>
          <w:b/>
        </w:rPr>
        <w:t>zkreslí nebo uvede nesprávné údaje</w:t>
      </w:r>
      <w:r w:rsidR="00F223EC" w:rsidRPr="000E5BD7">
        <w:rPr>
          <w:b/>
        </w:rPr>
        <w:t>.</w:t>
      </w:r>
      <w:r w:rsidR="000E5BD7">
        <w:t>“.</w:t>
      </w:r>
    </w:p>
    <w:p w:rsidR="00AC280E" w:rsidRDefault="00AC280E" w:rsidP="00AC280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FB3E1D" w:rsidRDefault="00FB3E1D" w:rsidP="00AC280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t>V § 25 odst. 5 se doplňuje nové písmeno c), které zní: „</w:t>
      </w:r>
      <w:r w:rsidR="000E5BD7" w:rsidRPr="000E5BD7">
        <w:rPr>
          <w:b/>
        </w:rPr>
        <w:t>c</w:t>
      </w:r>
      <w:r w:rsidRPr="000E5BD7">
        <w:rPr>
          <w:b/>
        </w:rPr>
        <w:t>) neoprávněně vystaví doklad o</w:t>
      </w:r>
      <w:r w:rsidR="00565008">
        <w:rPr>
          <w:b/>
        </w:rPr>
        <w:t> </w:t>
      </w:r>
      <w:r w:rsidRPr="000E5BD7">
        <w:rPr>
          <w:b/>
        </w:rPr>
        <w:t>provedení kontroly technického stavu a provozu spalovacího stacionárního zdroje na pevná paliva dle § 17 odst. 1 písm. h)</w:t>
      </w:r>
      <w:r w:rsidR="00D16F7D" w:rsidRPr="00D16F7D">
        <w:rPr>
          <w:b/>
        </w:rPr>
        <w:t xml:space="preserve"> </w:t>
      </w:r>
      <w:r w:rsidR="00D16F7D">
        <w:rPr>
          <w:b/>
        </w:rPr>
        <w:t>nebo v tomto dokladu</w:t>
      </w:r>
      <w:r w:rsidR="00D16F7D" w:rsidRPr="00D16F7D">
        <w:rPr>
          <w:b/>
        </w:rPr>
        <w:t xml:space="preserve"> </w:t>
      </w:r>
      <w:r w:rsidR="00D16F7D">
        <w:rPr>
          <w:b/>
        </w:rPr>
        <w:t>zkreslí nebo uvede nesprávné údaje</w:t>
      </w:r>
      <w:r w:rsidR="00D16F7D" w:rsidRPr="000E5BD7">
        <w:rPr>
          <w:b/>
        </w:rPr>
        <w:t>.</w:t>
      </w:r>
      <w:r w:rsidR="00D16F7D">
        <w:t>“</w:t>
      </w:r>
      <w:r w:rsidR="000E5BD7">
        <w:t>.</w:t>
      </w:r>
    </w:p>
    <w:p w:rsidR="00A77BDA" w:rsidRDefault="00A77BDA" w:rsidP="00AC280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FB3E1D" w:rsidRDefault="00FB3E1D" w:rsidP="00AC280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t>V § 25 odst. 7 písm. d) se text: „</w:t>
      </w:r>
      <w:r w:rsidRPr="00FB3E1D">
        <w:t>písm. d), g), j), n) a o)</w:t>
      </w:r>
      <w:r>
        <w:t>“ nahrazuje textem: „</w:t>
      </w:r>
      <w:r w:rsidRPr="00FB3E1D">
        <w:t>písm. d), g), j), n)</w:t>
      </w:r>
      <w:r>
        <w:t>,</w:t>
      </w:r>
      <w:r w:rsidRPr="00FB3E1D">
        <w:t xml:space="preserve"> o)</w:t>
      </w:r>
      <w:r w:rsidR="000E5BD7">
        <w:t> </w:t>
      </w:r>
      <w:r w:rsidRPr="000E5BD7">
        <w:rPr>
          <w:b/>
        </w:rPr>
        <w:t>a</w:t>
      </w:r>
      <w:r w:rsidR="000E5BD7">
        <w:rPr>
          <w:b/>
        </w:rPr>
        <w:t> </w:t>
      </w:r>
      <w:r w:rsidRPr="000E5BD7">
        <w:rPr>
          <w:b/>
        </w:rPr>
        <w:t>q)</w:t>
      </w:r>
      <w:r>
        <w:t>“.</w:t>
      </w:r>
    </w:p>
    <w:p w:rsidR="00FB3E1D" w:rsidRDefault="00FB3E1D" w:rsidP="00AC280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FB3E1D" w:rsidRPr="001221E6" w:rsidRDefault="00FB3E1D" w:rsidP="00FB3E1D">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1221E6">
        <w:rPr>
          <w:b/>
        </w:rPr>
        <w:t>Úplné znění:</w:t>
      </w:r>
    </w:p>
    <w:p w:rsidR="00FB3E1D" w:rsidRDefault="00FB3E1D" w:rsidP="00AC280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FB3E1D">
        <w:t>d) 50 000 Kč, jde-li o správní delikt podle odstavce 1 písm. d), g), j), n)</w:t>
      </w:r>
      <w:r>
        <w:t>,</w:t>
      </w:r>
      <w:r w:rsidRPr="00FB3E1D">
        <w:t xml:space="preserve"> o)</w:t>
      </w:r>
      <w:r>
        <w:t xml:space="preserve"> </w:t>
      </w:r>
      <w:r w:rsidRPr="000E5BD7">
        <w:rPr>
          <w:b/>
        </w:rPr>
        <w:t>a q)</w:t>
      </w:r>
      <w:r w:rsidRPr="00FB3E1D">
        <w:t>, podle odstavce 4</w:t>
      </w:r>
      <w:r w:rsidR="00940C00">
        <w:t> </w:t>
      </w:r>
      <w:r w:rsidRPr="00FB3E1D">
        <w:t>písm. a) nebo podle odstavce 6 písm. h),</w:t>
      </w:r>
    </w:p>
    <w:p w:rsidR="00FB3E1D" w:rsidRDefault="00FB3E1D" w:rsidP="00AC280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FB3E1D" w:rsidRDefault="000E5BD7" w:rsidP="00AC280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t>V § 25 se vkládá nový odstavec 8, který zní: „</w:t>
      </w:r>
      <w:r w:rsidR="00A77BDA" w:rsidRPr="00A77BDA">
        <w:rPr>
          <w:b/>
        </w:rPr>
        <w:t>(</w:t>
      </w:r>
      <w:r w:rsidRPr="00A77BDA">
        <w:rPr>
          <w:b/>
        </w:rPr>
        <w:t>8</w:t>
      </w:r>
      <w:r w:rsidR="00A77BDA">
        <w:rPr>
          <w:b/>
        </w:rPr>
        <w:t>)</w:t>
      </w:r>
      <w:r w:rsidRPr="00A77BDA">
        <w:rPr>
          <w:b/>
        </w:rPr>
        <w:t xml:space="preserve"> Autorizované osobě se uloží pokuta do 50 000 Kč za správní delikt podle odstavce </w:t>
      </w:r>
      <w:r w:rsidR="00A77BDA">
        <w:rPr>
          <w:b/>
        </w:rPr>
        <w:t>2</w:t>
      </w:r>
      <w:r w:rsidRPr="00A77BDA">
        <w:rPr>
          <w:b/>
        </w:rPr>
        <w:t>5 písm. c)</w:t>
      </w:r>
      <w:r>
        <w:t>“.</w:t>
      </w:r>
    </w:p>
    <w:p w:rsidR="00A77BDA" w:rsidRPr="001221E6" w:rsidRDefault="00A77BDA" w:rsidP="00AC280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AC280E" w:rsidRPr="007E231F" w:rsidRDefault="00AC280E" w:rsidP="00AC280E">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7E231F">
        <w:rPr>
          <w:b/>
        </w:rPr>
        <w:t>Odůvodnění:</w:t>
      </w:r>
    </w:p>
    <w:p w:rsidR="00AC280E" w:rsidRPr="007E231F" w:rsidRDefault="007E231F" w:rsidP="00AC280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7E231F">
        <w:t xml:space="preserve">Má- li být kontrola technického stavu a provozu spalovacího stacionárního zdroje na pevná paliva jedním z klíčových bodů v opatření pro naplnění Střednědobé strategie zlepšení kvality ovzduší v ČR, nemůže být </w:t>
      </w:r>
      <w:r w:rsidR="000E5BD7">
        <w:t xml:space="preserve">její </w:t>
      </w:r>
      <w:r w:rsidRPr="007E231F">
        <w:t xml:space="preserve">vykonavatel zcela mimo dosah zákonného opatření. Kontrola, o jejímž provedení bude zpracován doklad, jehož podobu bude upravovat samostatná vyhláška (§ 17 odst. 7), má prokazovat, že zařízení výrobce, které před uvedením na trh muselo projít řádným certifikačním procesem, bylo instalováno a v době uskutečnění kontroly provozováno a udržován v souladu s pokyny výrobce a tímto zákonem. Tato kontrola by měla být dostatečnou zárukou, že stacionární zdroj neznečišťuje ovzduší. Pokud v případě kontroly osobou pověřenou obecním úřadem dle § 17 odst. 2 dojde ke zjištění, že zdroj neplní emisní limity z důvodu zásahu provozovatele do zařízení, je tak jeho odpovědnost jednoznačná, vč. všech důsledků. Pokud však provozovatel prokáže, že provozuje zařízení stejným způsobem jako v době konání kontroly odborně způsobilou osobou, odpovědnost za neplnění emisních limitů tak v případě neoprávněného popř. neodůvodněného vydání dokladu o kontrole padá na tuto osobu. Na rozdíl od provozovatele (§ 23 a § 25) však zákon neobsahuje jakýkoliv postih odborně způsobilé </w:t>
      </w:r>
      <w:r w:rsidR="000E5BD7">
        <w:t xml:space="preserve">nebo autorizované </w:t>
      </w:r>
      <w:r w:rsidRPr="007E231F">
        <w:t xml:space="preserve">osoby. V praxi tak může tato odborně způsobilá </w:t>
      </w:r>
      <w:r w:rsidR="000E5BD7">
        <w:t xml:space="preserve">nebo autorizovaná </w:t>
      </w:r>
      <w:r w:rsidRPr="007E231F">
        <w:t xml:space="preserve">osoba neomezeně vydávat doklady o </w:t>
      </w:r>
      <w:r w:rsidR="000E5BD7">
        <w:t xml:space="preserve">provedení </w:t>
      </w:r>
      <w:r w:rsidRPr="007E231F">
        <w:t>kontrol</w:t>
      </w:r>
      <w:r w:rsidR="000E5BD7">
        <w:t>y</w:t>
      </w:r>
      <w:r w:rsidRPr="007E231F">
        <w:t xml:space="preserve"> bez jakéhokoliv rizika postihu</w:t>
      </w:r>
      <w:r>
        <w:t>.</w:t>
      </w:r>
    </w:p>
    <w:p w:rsidR="00C079A3" w:rsidRDefault="00C079A3" w:rsidP="007E231F">
      <w:pPr>
        <w:pStyle w:val="Odstavecseseznamem"/>
        <w:tabs>
          <w:tab w:val="left" w:pos="567"/>
        </w:tabs>
        <w:spacing w:after="0" w:line="240" w:lineRule="auto"/>
        <w:ind w:left="0"/>
        <w:contextualSpacing w:val="0"/>
        <w:jc w:val="both"/>
      </w:pPr>
    </w:p>
    <w:p w:rsidR="0069674C" w:rsidRDefault="0069674C" w:rsidP="0069674C">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Pr>
          <w:b/>
        </w:rPr>
        <w:t>Př</w:t>
      </w:r>
      <w:r w:rsidR="00EF4F68">
        <w:rPr>
          <w:b/>
        </w:rPr>
        <w:t xml:space="preserve">ipomínka k příloze </w:t>
      </w:r>
      <w:r>
        <w:rPr>
          <w:b/>
        </w:rPr>
        <w:t xml:space="preserve">č. 1 </w:t>
      </w:r>
      <w:r w:rsidR="00EF4F68">
        <w:rPr>
          <w:b/>
        </w:rPr>
        <w:t xml:space="preserve">- </w:t>
      </w:r>
      <w:r>
        <w:rPr>
          <w:b/>
        </w:rPr>
        <w:t>Imisní limity</w:t>
      </w:r>
    </w:p>
    <w:p w:rsidR="0069674C" w:rsidRPr="00EF4F68" w:rsidRDefault="0069674C" w:rsidP="00EF4F68">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69674C" w:rsidRPr="00EF4F68" w:rsidRDefault="00EF4F68" w:rsidP="00EF4F68">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t xml:space="preserve">Pro hodnoty – objemové jednotky - uvedené v tabulce nejsou v příloze zákona ani jinde v zákoně uvedeny </w:t>
      </w:r>
      <w:r w:rsidR="0014700F" w:rsidRPr="00EF4F68">
        <w:t>vztažné podmínky</w:t>
      </w:r>
      <w:r>
        <w:t>. B</w:t>
      </w:r>
      <w:r w:rsidR="0014700F" w:rsidRPr="00EF4F68">
        <w:t xml:space="preserve">ez </w:t>
      </w:r>
      <w:r>
        <w:t xml:space="preserve">jejich definice nabývají hodnoty </w:t>
      </w:r>
      <w:r w:rsidR="0014700F" w:rsidRPr="00EF4F68">
        <w:t>značné nejistoty</w:t>
      </w:r>
      <w:r w:rsidR="0069674C" w:rsidRPr="00EF4F68">
        <w:t>.</w:t>
      </w:r>
    </w:p>
    <w:p w:rsidR="0069674C" w:rsidRDefault="0069674C" w:rsidP="007E231F">
      <w:pPr>
        <w:pStyle w:val="Odstavecseseznamem"/>
        <w:tabs>
          <w:tab w:val="left" w:pos="567"/>
        </w:tabs>
        <w:spacing w:after="0" w:line="240" w:lineRule="auto"/>
        <w:ind w:left="0"/>
        <w:contextualSpacing w:val="0"/>
        <w:jc w:val="both"/>
      </w:pPr>
    </w:p>
    <w:p w:rsidR="0069674C" w:rsidRDefault="0069674C" w:rsidP="007E231F">
      <w:pPr>
        <w:pStyle w:val="Odstavecseseznamem"/>
        <w:tabs>
          <w:tab w:val="left" w:pos="567"/>
        </w:tabs>
        <w:spacing w:after="0" w:line="240" w:lineRule="auto"/>
        <w:ind w:left="0"/>
        <w:contextualSpacing w:val="0"/>
        <w:jc w:val="both"/>
      </w:pPr>
    </w:p>
    <w:p w:rsidR="0069674C" w:rsidRPr="00EF4F68" w:rsidRDefault="0069674C" w:rsidP="007E231F">
      <w:pPr>
        <w:pStyle w:val="Odstavecseseznamem"/>
        <w:tabs>
          <w:tab w:val="left" w:pos="567"/>
        </w:tabs>
        <w:spacing w:after="0" w:line="240" w:lineRule="auto"/>
        <w:ind w:left="0"/>
        <w:contextualSpacing w:val="0"/>
        <w:jc w:val="both"/>
        <w:rPr>
          <w:b/>
        </w:rPr>
      </w:pPr>
      <w:r w:rsidRPr="00EF4F68">
        <w:rPr>
          <w:b/>
        </w:rPr>
        <w:t>D</w:t>
      </w:r>
      <w:r w:rsidR="00EF4F68">
        <w:rPr>
          <w:b/>
        </w:rPr>
        <w:t>.</w:t>
      </w:r>
      <w:r w:rsidR="00EF4F68" w:rsidRPr="00EF4F68">
        <w:rPr>
          <w:b/>
        </w:rPr>
        <w:tab/>
        <w:t>DOPORUČUJÍCÍ PŘIPOMÍNKY</w:t>
      </w:r>
      <w:r w:rsidRPr="00EF4F68">
        <w:rPr>
          <w:b/>
        </w:rPr>
        <w:t>:</w:t>
      </w:r>
      <w:bookmarkStart w:id="0" w:name="_GoBack"/>
      <w:bookmarkEnd w:id="0"/>
    </w:p>
    <w:p w:rsidR="0069674C" w:rsidRDefault="0069674C" w:rsidP="007E231F">
      <w:pPr>
        <w:pStyle w:val="Odstavecseseznamem"/>
        <w:tabs>
          <w:tab w:val="left" w:pos="567"/>
        </w:tabs>
        <w:spacing w:after="0" w:line="240" w:lineRule="auto"/>
        <w:ind w:left="0"/>
        <w:contextualSpacing w:val="0"/>
        <w:jc w:val="both"/>
      </w:pPr>
    </w:p>
    <w:p w:rsidR="0069674C" w:rsidRDefault="00EF4F68" w:rsidP="0069674C">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Pr>
          <w:b/>
        </w:rPr>
        <w:t xml:space="preserve">Připomínka k odkazu č. </w:t>
      </w:r>
      <w:r w:rsidR="0069674C">
        <w:rPr>
          <w:b/>
        </w:rPr>
        <w:t>4</w:t>
      </w:r>
    </w:p>
    <w:p w:rsidR="0069674C" w:rsidRPr="00EF4F68" w:rsidRDefault="0069674C" w:rsidP="00EF4F68">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69674C" w:rsidRPr="00EF4F68" w:rsidRDefault="0069674C" w:rsidP="00EF4F68">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EF4F68">
        <w:t xml:space="preserve">V odkazu č. </w:t>
      </w:r>
      <w:r w:rsidRPr="00EF4F68">
        <w:rPr>
          <w:iCs/>
        </w:rPr>
        <w:t>4) je nesprávně ponechán § 7 odst. 3 zákona č. 513/1991 Sb., obchodního zákoníku,</w:t>
      </w:r>
      <w:r w:rsidRPr="00EF4F68">
        <w:t xml:space="preserve"> který byl nahrazen zákonem č. 89/2012 Sb</w:t>
      </w:r>
      <w:r w:rsidR="00EF4F68" w:rsidRPr="00EF4F68">
        <w:t>.</w:t>
      </w:r>
    </w:p>
    <w:p w:rsidR="005A7778" w:rsidRPr="00EF4F68" w:rsidRDefault="00826306" w:rsidP="00EF4F68">
      <w:pPr>
        <w:pStyle w:val="Odstavecseseznamem"/>
        <w:tabs>
          <w:tab w:val="left" w:pos="567"/>
        </w:tabs>
        <w:spacing w:before="120" w:after="0" w:line="240" w:lineRule="auto"/>
        <w:ind w:left="0"/>
        <w:contextualSpacing w:val="0"/>
        <w:jc w:val="both"/>
      </w:pPr>
      <w:r w:rsidRPr="00EF4F68">
        <w:t xml:space="preserve">Praha </w:t>
      </w:r>
      <w:r w:rsidR="008734FE" w:rsidRPr="00EF4F68">
        <w:t>20</w:t>
      </w:r>
      <w:r w:rsidRPr="00EF4F68">
        <w:t xml:space="preserve">. </w:t>
      </w:r>
      <w:r w:rsidR="008734FE" w:rsidRPr="00EF4F68">
        <w:t>7</w:t>
      </w:r>
      <w:r w:rsidRPr="00EF4F68">
        <w:t>. 2015</w:t>
      </w:r>
    </w:p>
    <w:sectPr w:rsidR="005A7778" w:rsidRPr="00EF4F68" w:rsidSect="00EF4F68">
      <w:headerReference w:type="default" r:id="rId7"/>
      <w:footerReference w:type="default" r:id="rId8"/>
      <w:headerReference w:type="first" r:id="rId9"/>
      <w:footerReference w:type="first" r:id="rId10"/>
      <w:pgSz w:w="11906" w:h="16838" w:code="9"/>
      <w:pgMar w:top="1985" w:right="1418" w:bottom="992" w:left="1418"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910" w:rsidRDefault="00560910" w:rsidP="008A71EA">
      <w:pPr>
        <w:spacing w:after="0" w:line="240" w:lineRule="auto"/>
      </w:pPr>
      <w:r>
        <w:separator/>
      </w:r>
    </w:p>
  </w:endnote>
  <w:endnote w:type="continuationSeparator" w:id="0">
    <w:p w:rsidR="00560910" w:rsidRDefault="00560910" w:rsidP="008A71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89576"/>
      <w:docPartObj>
        <w:docPartGallery w:val="Page Numbers (Bottom of Page)"/>
        <w:docPartUnique/>
      </w:docPartObj>
    </w:sdtPr>
    <w:sdtContent>
      <w:p w:rsidR="00A77BDA" w:rsidRDefault="00A77BDA">
        <w:pPr>
          <w:pStyle w:val="Zpat"/>
          <w:jc w:val="center"/>
        </w:pPr>
        <w:fldSimple w:instr=" PAGE   \* MERGEFORMAT ">
          <w:r>
            <w:rPr>
              <w:noProof/>
            </w:rPr>
            <w:t>4</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BDA" w:rsidRDefault="00A77BDA" w:rsidP="00A77BDA">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910" w:rsidRDefault="00560910" w:rsidP="008A71EA">
      <w:pPr>
        <w:spacing w:after="0" w:line="240" w:lineRule="auto"/>
      </w:pPr>
      <w:r>
        <w:separator/>
      </w:r>
    </w:p>
  </w:footnote>
  <w:footnote w:type="continuationSeparator" w:id="0">
    <w:p w:rsidR="00560910" w:rsidRDefault="00560910" w:rsidP="008A71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44A" w:rsidRDefault="00DF344A" w:rsidP="008A71EA">
    <w:pPr>
      <w:pStyle w:val="Zhlav"/>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68" w:rsidRDefault="00EF4F68" w:rsidP="00EF4F68">
    <w:pPr>
      <w:pStyle w:val="Zhlav"/>
      <w:jc w:val="center"/>
    </w:pPr>
    <w:r w:rsidRPr="00EF4F68">
      <w:rPr>
        <w:noProof/>
        <w:lang w:eastAsia="cs-CZ"/>
      </w:rPr>
      <w:drawing>
        <wp:inline distT="0" distB="0" distL="0" distR="0">
          <wp:extent cx="2695575" cy="695325"/>
          <wp:effectExtent l="19050" t="0" r="9525" b="0"/>
          <wp:docPr id="1"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94986" cy="69517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E150D"/>
    <w:multiLevelType w:val="hybridMultilevel"/>
    <w:tmpl w:val="1748A934"/>
    <w:lvl w:ilvl="0" w:tplc="AFA4C262">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ABB2ABB"/>
    <w:multiLevelType w:val="hybridMultilevel"/>
    <w:tmpl w:val="FACABB22"/>
    <w:lvl w:ilvl="0" w:tplc="88DA91FA">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F4F42B7"/>
    <w:multiLevelType w:val="hybridMultilevel"/>
    <w:tmpl w:val="80E2CB3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D6E155C"/>
    <w:multiLevelType w:val="hybridMultilevel"/>
    <w:tmpl w:val="1AA212C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C676731"/>
    <w:multiLevelType w:val="hybridMultilevel"/>
    <w:tmpl w:val="D2F0C802"/>
    <w:lvl w:ilvl="0" w:tplc="5E7C3FA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7E565D8"/>
    <w:multiLevelType w:val="hybridMultilevel"/>
    <w:tmpl w:val="5D70E5EE"/>
    <w:lvl w:ilvl="0" w:tplc="133670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
    <w15:presenceInfo w15:providerId="None" w15:userId="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030F5B"/>
    <w:rsid w:val="0000748C"/>
    <w:rsid w:val="00014188"/>
    <w:rsid w:val="0002368B"/>
    <w:rsid w:val="00025760"/>
    <w:rsid w:val="00030F5B"/>
    <w:rsid w:val="00057AB0"/>
    <w:rsid w:val="00085B92"/>
    <w:rsid w:val="000A22B9"/>
    <w:rsid w:val="000B5F11"/>
    <w:rsid w:val="000D5667"/>
    <w:rsid w:val="000E5BD7"/>
    <w:rsid w:val="001016C8"/>
    <w:rsid w:val="00102933"/>
    <w:rsid w:val="001109DD"/>
    <w:rsid w:val="001221E6"/>
    <w:rsid w:val="0014700F"/>
    <w:rsid w:val="0016267E"/>
    <w:rsid w:val="001638BC"/>
    <w:rsid w:val="0017548D"/>
    <w:rsid w:val="00183C02"/>
    <w:rsid w:val="00193D68"/>
    <w:rsid w:val="001A4E19"/>
    <w:rsid w:val="001A5459"/>
    <w:rsid w:val="001B266B"/>
    <w:rsid w:val="001B5C83"/>
    <w:rsid w:val="001C5B62"/>
    <w:rsid w:val="001E18F7"/>
    <w:rsid w:val="001E276E"/>
    <w:rsid w:val="001E3DE7"/>
    <w:rsid w:val="001E5462"/>
    <w:rsid w:val="001F4636"/>
    <w:rsid w:val="00201A30"/>
    <w:rsid w:val="00223089"/>
    <w:rsid w:val="00241F59"/>
    <w:rsid w:val="002515A5"/>
    <w:rsid w:val="00260FC6"/>
    <w:rsid w:val="00263AFD"/>
    <w:rsid w:val="00265046"/>
    <w:rsid w:val="00276473"/>
    <w:rsid w:val="00282BE5"/>
    <w:rsid w:val="00283BE8"/>
    <w:rsid w:val="002B3746"/>
    <w:rsid w:val="002B5093"/>
    <w:rsid w:val="002B77CA"/>
    <w:rsid w:val="002F2828"/>
    <w:rsid w:val="002F4734"/>
    <w:rsid w:val="002F792F"/>
    <w:rsid w:val="00302F26"/>
    <w:rsid w:val="00303377"/>
    <w:rsid w:val="00316A6B"/>
    <w:rsid w:val="0032279B"/>
    <w:rsid w:val="00324F39"/>
    <w:rsid w:val="00346CB3"/>
    <w:rsid w:val="00351768"/>
    <w:rsid w:val="00376877"/>
    <w:rsid w:val="0038023F"/>
    <w:rsid w:val="00381EA0"/>
    <w:rsid w:val="00383044"/>
    <w:rsid w:val="00385822"/>
    <w:rsid w:val="003A2D75"/>
    <w:rsid w:val="003B1511"/>
    <w:rsid w:val="003C7E14"/>
    <w:rsid w:val="003D2DAA"/>
    <w:rsid w:val="003E26AC"/>
    <w:rsid w:val="00402E21"/>
    <w:rsid w:val="00404F30"/>
    <w:rsid w:val="00417B0F"/>
    <w:rsid w:val="004238B4"/>
    <w:rsid w:val="004325EC"/>
    <w:rsid w:val="00457528"/>
    <w:rsid w:val="0047349B"/>
    <w:rsid w:val="00475E3F"/>
    <w:rsid w:val="0048475A"/>
    <w:rsid w:val="00493533"/>
    <w:rsid w:val="00494C53"/>
    <w:rsid w:val="004B2CE5"/>
    <w:rsid w:val="004D5CCD"/>
    <w:rsid w:val="004F1002"/>
    <w:rsid w:val="00503560"/>
    <w:rsid w:val="0050702F"/>
    <w:rsid w:val="005210BB"/>
    <w:rsid w:val="00535CAD"/>
    <w:rsid w:val="00544135"/>
    <w:rsid w:val="005518E2"/>
    <w:rsid w:val="00552556"/>
    <w:rsid w:val="00560910"/>
    <w:rsid w:val="00561947"/>
    <w:rsid w:val="00565008"/>
    <w:rsid w:val="005664DD"/>
    <w:rsid w:val="0057672A"/>
    <w:rsid w:val="005910E5"/>
    <w:rsid w:val="0059271A"/>
    <w:rsid w:val="00595359"/>
    <w:rsid w:val="005A7778"/>
    <w:rsid w:val="005B1309"/>
    <w:rsid w:val="005C2631"/>
    <w:rsid w:val="005C70D0"/>
    <w:rsid w:val="00610C57"/>
    <w:rsid w:val="006119F9"/>
    <w:rsid w:val="0063510C"/>
    <w:rsid w:val="0065326C"/>
    <w:rsid w:val="00654A3C"/>
    <w:rsid w:val="00657BD4"/>
    <w:rsid w:val="00663593"/>
    <w:rsid w:val="00674FEE"/>
    <w:rsid w:val="00691289"/>
    <w:rsid w:val="0069674C"/>
    <w:rsid w:val="006C7CE9"/>
    <w:rsid w:val="006E3A8F"/>
    <w:rsid w:val="007069C5"/>
    <w:rsid w:val="00751BE3"/>
    <w:rsid w:val="0077211F"/>
    <w:rsid w:val="0078571A"/>
    <w:rsid w:val="00786B43"/>
    <w:rsid w:val="0079393C"/>
    <w:rsid w:val="007B3F0A"/>
    <w:rsid w:val="007E105C"/>
    <w:rsid w:val="007E231F"/>
    <w:rsid w:val="007E58AF"/>
    <w:rsid w:val="0081645A"/>
    <w:rsid w:val="00816AE7"/>
    <w:rsid w:val="00826306"/>
    <w:rsid w:val="00827A6E"/>
    <w:rsid w:val="00832A03"/>
    <w:rsid w:val="00834EBA"/>
    <w:rsid w:val="00837558"/>
    <w:rsid w:val="00844545"/>
    <w:rsid w:val="0085074D"/>
    <w:rsid w:val="00864678"/>
    <w:rsid w:val="00867D97"/>
    <w:rsid w:val="00870779"/>
    <w:rsid w:val="008734FE"/>
    <w:rsid w:val="00873A04"/>
    <w:rsid w:val="00885B6A"/>
    <w:rsid w:val="008A52AE"/>
    <w:rsid w:val="008A5CC9"/>
    <w:rsid w:val="008A71EA"/>
    <w:rsid w:val="008D0619"/>
    <w:rsid w:val="008D27E7"/>
    <w:rsid w:val="008E140E"/>
    <w:rsid w:val="008F1D8D"/>
    <w:rsid w:val="008F68A2"/>
    <w:rsid w:val="009141DF"/>
    <w:rsid w:val="00934F0B"/>
    <w:rsid w:val="00940C00"/>
    <w:rsid w:val="00950081"/>
    <w:rsid w:val="00954DAD"/>
    <w:rsid w:val="0099545D"/>
    <w:rsid w:val="009A08CE"/>
    <w:rsid w:val="009B3460"/>
    <w:rsid w:val="009C28C1"/>
    <w:rsid w:val="009E7201"/>
    <w:rsid w:val="009F2383"/>
    <w:rsid w:val="00A0284F"/>
    <w:rsid w:val="00A11F37"/>
    <w:rsid w:val="00A31FFB"/>
    <w:rsid w:val="00A3777E"/>
    <w:rsid w:val="00A43425"/>
    <w:rsid w:val="00A45A4F"/>
    <w:rsid w:val="00A46FEB"/>
    <w:rsid w:val="00A537D7"/>
    <w:rsid w:val="00A7534C"/>
    <w:rsid w:val="00A77BDA"/>
    <w:rsid w:val="00AA1697"/>
    <w:rsid w:val="00AA631C"/>
    <w:rsid w:val="00AC280E"/>
    <w:rsid w:val="00AC3D97"/>
    <w:rsid w:val="00AC6BB7"/>
    <w:rsid w:val="00AD4F46"/>
    <w:rsid w:val="00B40EC9"/>
    <w:rsid w:val="00B42679"/>
    <w:rsid w:val="00B51194"/>
    <w:rsid w:val="00B74108"/>
    <w:rsid w:val="00B95FF2"/>
    <w:rsid w:val="00BA05C8"/>
    <w:rsid w:val="00BA412F"/>
    <w:rsid w:val="00BB59B5"/>
    <w:rsid w:val="00BE23DF"/>
    <w:rsid w:val="00BE48F8"/>
    <w:rsid w:val="00BF710E"/>
    <w:rsid w:val="00C002C0"/>
    <w:rsid w:val="00C079A3"/>
    <w:rsid w:val="00C11A85"/>
    <w:rsid w:val="00C16795"/>
    <w:rsid w:val="00C21CEE"/>
    <w:rsid w:val="00C23AC1"/>
    <w:rsid w:val="00C3752E"/>
    <w:rsid w:val="00C4220C"/>
    <w:rsid w:val="00C4223E"/>
    <w:rsid w:val="00C55D7B"/>
    <w:rsid w:val="00C82487"/>
    <w:rsid w:val="00CC6D5F"/>
    <w:rsid w:val="00CE2836"/>
    <w:rsid w:val="00CF2C3B"/>
    <w:rsid w:val="00D164C4"/>
    <w:rsid w:val="00D16F7D"/>
    <w:rsid w:val="00D23F90"/>
    <w:rsid w:val="00D46FE7"/>
    <w:rsid w:val="00D53803"/>
    <w:rsid w:val="00D72BC7"/>
    <w:rsid w:val="00D86343"/>
    <w:rsid w:val="00D93CCB"/>
    <w:rsid w:val="00DA0843"/>
    <w:rsid w:val="00DA1C38"/>
    <w:rsid w:val="00DC3EB8"/>
    <w:rsid w:val="00DD3281"/>
    <w:rsid w:val="00DD6F4F"/>
    <w:rsid w:val="00DE3A9D"/>
    <w:rsid w:val="00DE762E"/>
    <w:rsid w:val="00DF344A"/>
    <w:rsid w:val="00DF4040"/>
    <w:rsid w:val="00DF4E91"/>
    <w:rsid w:val="00E01DF3"/>
    <w:rsid w:val="00E02E9C"/>
    <w:rsid w:val="00E15B76"/>
    <w:rsid w:val="00E26016"/>
    <w:rsid w:val="00E710D4"/>
    <w:rsid w:val="00E863E5"/>
    <w:rsid w:val="00EA46ED"/>
    <w:rsid w:val="00EB0B12"/>
    <w:rsid w:val="00EB5907"/>
    <w:rsid w:val="00EE4F03"/>
    <w:rsid w:val="00EF4F68"/>
    <w:rsid w:val="00F074B5"/>
    <w:rsid w:val="00F1590F"/>
    <w:rsid w:val="00F223EC"/>
    <w:rsid w:val="00F25259"/>
    <w:rsid w:val="00FB3E1D"/>
    <w:rsid w:val="00FB681B"/>
    <w:rsid w:val="00FB6AEE"/>
    <w:rsid w:val="00FC6417"/>
    <w:rsid w:val="00FF2D7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Book" w:eastAsiaTheme="minorHAnsi" w:hAnsi="Franklin Gothic Book"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0EC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30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C3752E"/>
    <w:pPr>
      <w:ind w:left="720"/>
      <w:contextualSpacing/>
    </w:pPr>
  </w:style>
  <w:style w:type="paragraph" w:styleId="Zhlav">
    <w:name w:val="header"/>
    <w:basedOn w:val="Normln"/>
    <w:link w:val="ZhlavChar"/>
    <w:uiPriority w:val="99"/>
    <w:semiHidden/>
    <w:unhideWhenUsed/>
    <w:rsid w:val="008A71E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A71EA"/>
  </w:style>
  <w:style w:type="paragraph" w:styleId="Zpat">
    <w:name w:val="footer"/>
    <w:basedOn w:val="Normln"/>
    <w:link w:val="ZpatChar"/>
    <w:uiPriority w:val="99"/>
    <w:unhideWhenUsed/>
    <w:rsid w:val="008A71E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71EA"/>
  </w:style>
  <w:style w:type="paragraph" w:styleId="Textbubliny">
    <w:name w:val="Balloon Text"/>
    <w:basedOn w:val="Normln"/>
    <w:link w:val="TextbublinyChar"/>
    <w:uiPriority w:val="99"/>
    <w:semiHidden/>
    <w:unhideWhenUsed/>
    <w:rsid w:val="008A71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71EA"/>
    <w:rPr>
      <w:rFonts w:ascii="Tahoma" w:hAnsi="Tahoma" w:cs="Tahoma"/>
      <w:sz w:val="16"/>
      <w:szCs w:val="16"/>
    </w:rPr>
  </w:style>
  <w:style w:type="character" w:styleId="Odkaznakoment">
    <w:name w:val="annotation reference"/>
    <w:basedOn w:val="Standardnpsmoodstavce"/>
    <w:uiPriority w:val="99"/>
    <w:semiHidden/>
    <w:unhideWhenUsed/>
    <w:rsid w:val="00D16F7D"/>
    <w:rPr>
      <w:sz w:val="16"/>
      <w:szCs w:val="16"/>
    </w:rPr>
  </w:style>
  <w:style w:type="paragraph" w:styleId="Textkomente">
    <w:name w:val="annotation text"/>
    <w:basedOn w:val="Normln"/>
    <w:link w:val="TextkomenteChar"/>
    <w:uiPriority w:val="99"/>
    <w:semiHidden/>
    <w:unhideWhenUsed/>
    <w:rsid w:val="00D16F7D"/>
    <w:pPr>
      <w:spacing w:line="240" w:lineRule="auto"/>
    </w:pPr>
    <w:rPr>
      <w:sz w:val="20"/>
      <w:szCs w:val="20"/>
    </w:rPr>
  </w:style>
  <w:style w:type="character" w:customStyle="1" w:styleId="TextkomenteChar">
    <w:name w:val="Text komentáře Char"/>
    <w:basedOn w:val="Standardnpsmoodstavce"/>
    <w:link w:val="Textkomente"/>
    <w:uiPriority w:val="99"/>
    <w:semiHidden/>
    <w:rsid w:val="00D16F7D"/>
    <w:rPr>
      <w:sz w:val="20"/>
      <w:szCs w:val="20"/>
    </w:rPr>
  </w:style>
  <w:style w:type="paragraph" w:styleId="Pedmtkomente">
    <w:name w:val="annotation subject"/>
    <w:basedOn w:val="Textkomente"/>
    <w:next w:val="Textkomente"/>
    <w:link w:val="PedmtkomenteChar"/>
    <w:uiPriority w:val="99"/>
    <w:semiHidden/>
    <w:unhideWhenUsed/>
    <w:rsid w:val="00D16F7D"/>
    <w:rPr>
      <w:b/>
      <w:bCs/>
    </w:rPr>
  </w:style>
  <w:style w:type="character" w:customStyle="1" w:styleId="PedmtkomenteChar">
    <w:name w:val="Předmět komentáře Char"/>
    <w:basedOn w:val="TextkomenteChar"/>
    <w:link w:val="Pedmtkomente"/>
    <w:uiPriority w:val="99"/>
    <w:semiHidden/>
    <w:rsid w:val="00D16F7D"/>
    <w:rPr>
      <w:b/>
      <w:bCs/>
      <w:sz w:val="20"/>
      <w:szCs w:val="20"/>
    </w:rPr>
  </w:style>
</w:styles>
</file>

<file path=word/webSettings.xml><?xml version="1.0" encoding="utf-8"?>
<w:webSettings xmlns:r="http://schemas.openxmlformats.org/officeDocument/2006/relationships" xmlns:w="http://schemas.openxmlformats.org/wordprocessingml/2006/main">
  <w:divs>
    <w:div w:id="39612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1820</Words>
  <Characters>10741</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HKCR</Company>
  <LinksUpToDate>false</LinksUpToDate>
  <CharactersWithSpaces>12536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Pripominkovani</dc:creator>
  <cp:lastModifiedBy>Pecanek 2</cp:lastModifiedBy>
  <cp:revision>5</cp:revision>
  <dcterms:created xsi:type="dcterms:W3CDTF">2015-07-20T13:51:00Z</dcterms:created>
  <dcterms:modified xsi:type="dcterms:W3CDTF">2015-07-20T14:30:00Z</dcterms:modified>
</cp:coreProperties>
</file>