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322" w:type="dxa"/>
        <w:tblLook w:val="04A0"/>
      </w:tblPr>
      <w:tblGrid>
        <w:gridCol w:w="2093"/>
        <w:gridCol w:w="7229"/>
      </w:tblGrid>
      <w:tr w:rsidR="005B1309" w:rsidTr="00857009">
        <w:tc>
          <w:tcPr>
            <w:tcW w:w="2093" w:type="dxa"/>
            <w:vAlign w:val="center"/>
          </w:tcPr>
          <w:p w:rsidR="005B1309" w:rsidRDefault="005B1309" w:rsidP="00857009">
            <w:pPr>
              <w:rPr>
                <w:b/>
              </w:rPr>
            </w:pPr>
            <w:r w:rsidRPr="004D5CCD">
              <w:rPr>
                <w:b/>
              </w:rPr>
              <w:t>Název materiálu</w:t>
            </w:r>
            <w:r>
              <w:rPr>
                <w:b/>
              </w:rPr>
              <w:t>:</w:t>
            </w:r>
          </w:p>
          <w:p w:rsidR="005B1309" w:rsidRDefault="005B1309" w:rsidP="00857009">
            <w:pPr>
              <w:rPr>
                <w:b/>
              </w:rPr>
            </w:pPr>
          </w:p>
        </w:tc>
        <w:tc>
          <w:tcPr>
            <w:tcW w:w="7229" w:type="dxa"/>
          </w:tcPr>
          <w:p w:rsidR="005B1309" w:rsidRDefault="00F0605D" w:rsidP="00F0605D">
            <w:pPr>
              <w:rPr>
                <w:b/>
              </w:rPr>
            </w:pPr>
            <w:r w:rsidRPr="00F0605D">
              <w:rPr>
                <w:b/>
              </w:rPr>
              <w:t>Vyhláška o způsobu regulace cen</w:t>
            </w:r>
            <w:r>
              <w:rPr>
                <w:b/>
              </w:rPr>
              <w:t xml:space="preserve"> a postupech pro regulaci cen v </w:t>
            </w:r>
            <w:r w:rsidRPr="00F0605D">
              <w:rPr>
                <w:b/>
              </w:rPr>
              <w:t>plynárenství</w:t>
            </w:r>
            <w:r>
              <w:rPr>
                <w:b/>
              </w:rPr>
              <w:t xml:space="preserve"> (zveřejněno 29. 4. 2015)</w:t>
            </w:r>
          </w:p>
        </w:tc>
      </w:tr>
      <w:tr w:rsidR="005B1309" w:rsidTr="00857009">
        <w:tc>
          <w:tcPr>
            <w:tcW w:w="2093" w:type="dxa"/>
            <w:vAlign w:val="center"/>
          </w:tcPr>
          <w:p w:rsidR="005B1309" w:rsidRPr="004D5CCD" w:rsidRDefault="005B1309" w:rsidP="00857009">
            <w:pPr>
              <w:rPr>
                <w:b/>
              </w:rPr>
            </w:pPr>
            <w:r w:rsidRPr="004D5CCD">
              <w:rPr>
                <w:b/>
              </w:rPr>
              <w:t>Jméno</w:t>
            </w:r>
            <w:r>
              <w:rPr>
                <w:b/>
              </w:rPr>
              <w:t>:</w:t>
            </w:r>
          </w:p>
          <w:p w:rsidR="005B1309" w:rsidRDefault="005B1309" w:rsidP="00857009">
            <w:pPr>
              <w:rPr>
                <w:b/>
              </w:rPr>
            </w:pPr>
          </w:p>
        </w:tc>
        <w:tc>
          <w:tcPr>
            <w:tcW w:w="7229" w:type="dxa"/>
          </w:tcPr>
          <w:p w:rsidR="005B1309" w:rsidRDefault="00F0605D" w:rsidP="00857009">
            <w:pPr>
              <w:rPr>
                <w:b/>
              </w:rPr>
            </w:pPr>
            <w:r>
              <w:rPr>
                <w:b/>
              </w:rPr>
              <w:t>Tomáš Pecánek</w:t>
            </w:r>
          </w:p>
          <w:p w:rsidR="008C204F" w:rsidRDefault="008C204F" w:rsidP="00857009">
            <w:pPr>
              <w:rPr>
                <w:b/>
              </w:rPr>
            </w:pPr>
            <w:r>
              <w:rPr>
                <w:b/>
              </w:rPr>
              <w:t>Český plynárenský svaz</w:t>
            </w:r>
          </w:p>
        </w:tc>
      </w:tr>
      <w:tr w:rsidR="005B1309" w:rsidTr="00857009">
        <w:tc>
          <w:tcPr>
            <w:tcW w:w="2093" w:type="dxa"/>
            <w:vAlign w:val="center"/>
          </w:tcPr>
          <w:p w:rsidR="005B1309" w:rsidRPr="004D5CCD" w:rsidRDefault="005B1309" w:rsidP="00857009">
            <w:pPr>
              <w:rPr>
                <w:b/>
              </w:rPr>
            </w:pPr>
            <w:r w:rsidRPr="004D5CCD">
              <w:rPr>
                <w:b/>
              </w:rPr>
              <w:t>Telefon</w:t>
            </w:r>
            <w:r w:rsidRPr="004D5CCD">
              <w:rPr>
                <w:b/>
              </w:rPr>
              <w:tab/>
            </w:r>
            <w:r>
              <w:rPr>
                <w:b/>
              </w:rPr>
              <w:t>:</w:t>
            </w:r>
          </w:p>
          <w:p w:rsidR="005B1309" w:rsidRDefault="005B1309" w:rsidP="00857009">
            <w:pPr>
              <w:rPr>
                <w:b/>
              </w:rPr>
            </w:pPr>
          </w:p>
        </w:tc>
        <w:tc>
          <w:tcPr>
            <w:tcW w:w="7229" w:type="dxa"/>
          </w:tcPr>
          <w:p w:rsidR="005B1309" w:rsidRDefault="00F0605D" w:rsidP="00857009">
            <w:pPr>
              <w:rPr>
                <w:b/>
              </w:rPr>
            </w:pPr>
            <w:r>
              <w:rPr>
                <w:b/>
              </w:rPr>
              <w:t>+420 602 560 771</w:t>
            </w:r>
          </w:p>
        </w:tc>
      </w:tr>
      <w:tr w:rsidR="005B1309" w:rsidTr="00857009">
        <w:tc>
          <w:tcPr>
            <w:tcW w:w="2093" w:type="dxa"/>
            <w:vAlign w:val="center"/>
          </w:tcPr>
          <w:p w:rsidR="005B1309" w:rsidRDefault="005B1309" w:rsidP="00857009">
            <w:pPr>
              <w:rPr>
                <w:b/>
              </w:rPr>
            </w:pPr>
            <w:r w:rsidRPr="004D5CCD">
              <w:rPr>
                <w:b/>
              </w:rPr>
              <w:t>e-mail</w:t>
            </w:r>
            <w:r>
              <w:rPr>
                <w:b/>
              </w:rPr>
              <w:t>:</w:t>
            </w:r>
          </w:p>
          <w:p w:rsidR="005B1309" w:rsidRDefault="005B1309" w:rsidP="00857009">
            <w:pPr>
              <w:rPr>
                <w:b/>
              </w:rPr>
            </w:pPr>
          </w:p>
        </w:tc>
        <w:tc>
          <w:tcPr>
            <w:tcW w:w="7229" w:type="dxa"/>
          </w:tcPr>
          <w:p w:rsidR="005B1309" w:rsidRDefault="00F0605D" w:rsidP="00857009">
            <w:pPr>
              <w:rPr>
                <w:b/>
              </w:rPr>
            </w:pPr>
            <w:r>
              <w:rPr>
                <w:b/>
              </w:rPr>
              <w:t>tomas.pecanek@cgoa.cz</w:t>
            </w:r>
          </w:p>
        </w:tc>
      </w:tr>
    </w:tbl>
    <w:p w:rsidR="005B1309" w:rsidRDefault="005B1309" w:rsidP="005B1309">
      <w:pPr>
        <w:spacing w:after="0" w:line="240" w:lineRule="auto"/>
        <w:rPr>
          <w:b/>
        </w:rPr>
      </w:pPr>
    </w:p>
    <w:p w:rsidR="004D5CCD" w:rsidRPr="00950081" w:rsidRDefault="00DC3EB8" w:rsidP="00E02E9C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b/>
        </w:rPr>
      </w:pPr>
      <w:r w:rsidRPr="0077211F">
        <w:rPr>
          <w:b/>
        </w:rPr>
        <w:t xml:space="preserve">ZÁSADNÍ </w:t>
      </w:r>
      <w:r w:rsidR="004D5CCD" w:rsidRPr="0077211F">
        <w:rPr>
          <w:b/>
        </w:rPr>
        <w:t>KONKRÉTNÍ PŘIPOMÍNK</w:t>
      </w:r>
      <w:r w:rsidR="0032279B" w:rsidRPr="0077211F">
        <w:rPr>
          <w:b/>
        </w:rPr>
        <w:t>Y</w:t>
      </w:r>
    </w:p>
    <w:p w:rsidR="00950081" w:rsidRPr="002B3746" w:rsidRDefault="00950081" w:rsidP="00950081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  <w:rPr>
          <w:b/>
        </w:rPr>
      </w:pPr>
    </w:p>
    <w:p w:rsidR="00E02E9C" w:rsidRPr="00B5722B" w:rsidRDefault="00E02E9C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B5722B">
        <w:rPr>
          <w:b/>
        </w:rPr>
        <w:t>Připomínka k</w:t>
      </w:r>
      <w:r w:rsidR="001F4636" w:rsidRPr="00B5722B">
        <w:rPr>
          <w:b/>
        </w:rPr>
        <w:t xml:space="preserve"> </w:t>
      </w:r>
      <w:r w:rsidR="0093282D" w:rsidRPr="00B5722B">
        <w:rPr>
          <w:b/>
        </w:rPr>
        <w:t>§ 3</w:t>
      </w:r>
    </w:p>
    <w:p w:rsidR="0093282D" w:rsidRDefault="0093282D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12003F">
        <w:t xml:space="preserve">Navrhujeme přidat do § 3 nový odstavec 1, </w:t>
      </w:r>
      <w:r w:rsidR="0012003F">
        <w:t>zbývající odstavce se upraví a přečíslují. Nově § 3 zní:</w:t>
      </w:r>
    </w:p>
    <w:p w:rsidR="0012003F" w:rsidRDefault="0012003F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12003F" w:rsidRPr="0012003F" w:rsidRDefault="0012003F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>§ 3</w:t>
      </w:r>
    </w:p>
    <w:p w:rsidR="0012003F" w:rsidRPr="0012003F" w:rsidRDefault="0012003F" w:rsidP="00120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jc w:val="both"/>
        <w:rPr>
          <w:b/>
        </w:rPr>
      </w:pPr>
      <w:r w:rsidRPr="0012003F">
        <w:rPr>
          <w:b/>
        </w:rPr>
        <w:t>(1)</w:t>
      </w:r>
      <w:r w:rsidRPr="0012003F">
        <w:rPr>
          <w:b/>
        </w:rPr>
        <w:tab/>
        <w:t>Pro regulační období Úřad provozovateli přepravní soustavy a provozovateli distribuční soustavy stanovuje vybrané hodnoty parametrů regulačního vzorce takto:</w:t>
      </w:r>
    </w:p>
    <w:p w:rsidR="0012003F" w:rsidRPr="0012003F" w:rsidRDefault="0012003F" w:rsidP="005B6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jc w:val="both"/>
        <w:rPr>
          <w:b/>
        </w:rPr>
      </w:pPr>
      <w:r w:rsidRPr="0012003F">
        <w:rPr>
          <w:b/>
        </w:rPr>
        <w:t>a)</w:t>
      </w:r>
      <w:r w:rsidRPr="0012003F">
        <w:rPr>
          <w:b/>
        </w:rPr>
        <w:tab/>
        <w:t>roční hodnotu faktoru efektivity ve výši 1,01 %,</w:t>
      </w:r>
    </w:p>
    <w:p w:rsidR="0012003F" w:rsidRPr="0012003F" w:rsidRDefault="0012003F" w:rsidP="005B6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jc w:val="both"/>
        <w:rPr>
          <w:b/>
        </w:rPr>
      </w:pPr>
      <w:r w:rsidRPr="0012003F">
        <w:rPr>
          <w:b/>
        </w:rPr>
        <w:t>b)</w:t>
      </w:r>
      <w:r w:rsidRPr="0012003F">
        <w:rPr>
          <w:b/>
        </w:rPr>
        <w:tab/>
        <w:t>váhu indexu cen podnikatelských služeb ve výši 70 %</w:t>
      </w:r>
      <w:r w:rsidR="005B64EA">
        <w:rPr>
          <w:b/>
        </w:rPr>
        <w:t>,</w:t>
      </w:r>
    </w:p>
    <w:p w:rsidR="0012003F" w:rsidRPr="0012003F" w:rsidRDefault="0012003F" w:rsidP="005B6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jc w:val="both"/>
        <w:rPr>
          <w:b/>
        </w:rPr>
      </w:pPr>
      <w:r w:rsidRPr="0012003F">
        <w:rPr>
          <w:b/>
        </w:rPr>
        <w:t>c)</w:t>
      </w:r>
      <w:r w:rsidRPr="0012003F">
        <w:rPr>
          <w:b/>
        </w:rPr>
        <w:tab/>
        <w:t>váhu indexu spotřebitelských cen ve výši 30 %</w:t>
      </w:r>
      <w:r w:rsidR="005B64EA">
        <w:rPr>
          <w:b/>
        </w:rPr>
        <w:t xml:space="preserve"> a</w:t>
      </w:r>
    </w:p>
    <w:p w:rsidR="0093282D" w:rsidRPr="0012003F" w:rsidRDefault="0012003F" w:rsidP="005B6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jc w:val="both"/>
        <w:rPr>
          <w:b/>
        </w:rPr>
      </w:pPr>
      <w:r w:rsidRPr="0012003F">
        <w:rPr>
          <w:b/>
        </w:rPr>
        <w:t>d)</w:t>
      </w:r>
      <w:r w:rsidRPr="0012003F">
        <w:rPr>
          <w:b/>
        </w:rPr>
        <w:tab/>
        <w:t>roční hodnotu míry výnosnosti regulační báze aktiv ve výši 7,94 %</w:t>
      </w:r>
      <w:r w:rsidR="005B64EA">
        <w:rPr>
          <w:b/>
        </w:rPr>
        <w:t>.</w:t>
      </w:r>
    </w:p>
    <w:p w:rsidR="005B64EA" w:rsidRDefault="005B64EA" w:rsidP="005B6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jc w:val="both"/>
      </w:pPr>
    </w:p>
    <w:p w:rsidR="0012003F" w:rsidRPr="0012003F" w:rsidRDefault="0012003F" w:rsidP="005B6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jc w:val="both"/>
      </w:pPr>
      <w:r w:rsidRPr="0012003F">
        <w:t>(</w:t>
      </w:r>
      <w:r w:rsidRPr="0012003F">
        <w:rPr>
          <w:strike/>
        </w:rPr>
        <w:t>1</w:t>
      </w:r>
      <w:r w:rsidRPr="0012003F">
        <w:rPr>
          <w:b/>
        </w:rPr>
        <w:t>2</w:t>
      </w:r>
      <w:r w:rsidRPr="0012003F">
        <w:t>)</w:t>
      </w:r>
      <w:r w:rsidRPr="0012003F">
        <w:tab/>
        <w:t>Pro regulační období Úřad provozovateli přepravní soustavy oznámí hodnoty parametrů regulačního vzorce v tomto rozsahu:</w:t>
      </w:r>
    </w:p>
    <w:p w:rsidR="0012003F" w:rsidRPr="0012003F" w:rsidRDefault="0012003F" w:rsidP="005B6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jc w:val="both"/>
      </w:pPr>
      <w:r w:rsidRPr="0012003F">
        <w:t>a)</w:t>
      </w:r>
      <w:r w:rsidRPr="0012003F">
        <w:tab/>
        <w:t>výchozí hodnotu povolených nákladů</w:t>
      </w:r>
      <w:r w:rsidRPr="005B64EA">
        <w:rPr>
          <w:strike/>
        </w:rPr>
        <w:t>,</w:t>
      </w:r>
      <w:r w:rsidR="005B64EA" w:rsidRPr="005B64EA">
        <w:t xml:space="preserve"> </w:t>
      </w:r>
      <w:r w:rsidR="005B64EA" w:rsidRPr="005B64EA">
        <w:rPr>
          <w:b/>
        </w:rPr>
        <w:t>a</w:t>
      </w:r>
    </w:p>
    <w:p w:rsidR="0012003F" w:rsidRPr="0012003F" w:rsidRDefault="0012003F" w:rsidP="005B6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jc w:val="both"/>
      </w:pPr>
      <w:r w:rsidRPr="0012003F">
        <w:t>b)</w:t>
      </w:r>
      <w:r w:rsidRPr="0012003F">
        <w:tab/>
        <w:t xml:space="preserve">výchozí hodnotu regulační báze </w:t>
      </w:r>
      <w:proofErr w:type="gramStart"/>
      <w:r w:rsidRPr="0012003F">
        <w:t>aktiv</w:t>
      </w:r>
      <w:r w:rsidRPr="005B64EA">
        <w:rPr>
          <w:strike/>
        </w:rPr>
        <w:t>,</w:t>
      </w:r>
      <w:r w:rsidR="005B64EA" w:rsidRPr="005B64EA">
        <w:rPr>
          <w:b/>
        </w:rPr>
        <w:t>.</w:t>
      </w:r>
      <w:proofErr w:type="gramEnd"/>
    </w:p>
    <w:p w:rsidR="0012003F" w:rsidRPr="0012003F" w:rsidRDefault="0012003F" w:rsidP="005B6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jc w:val="both"/>
        <w:rPr>
          <w:strike/>
        </w:rPr>
      </w:pPr>
      <w:r w:rsidRPr="0012003F">
        <w:rPr>
          <w:strike/>
        </w:rPr>
        <w:t>c)</w:t>
      </w:r>
      <w:r w:rsidRPr="0012003F">
        <w:rPr>
          <w:strike/>
        </w:rPr>
        <w:tab/>
        <w:t>roční hodnotu faktoru efektivity,</w:t>
      </w:r>
    </w:p>
    <w:p w:rsidR="0012003F" w:rsidRPr="0012003F" w:rsidRDefault="0012003F" w:rsidP="005B6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jc w:val="both"/>
        <w:rPr>
          <w:strike/>
        </w:rPr>
      </w:pPr>
      <w:r w:rsidRPr="0012003F">
        <w:rPr>
          <w:strike/>
        </w:rPr>
        <w:t>d)</w:t>
      </w:r>
      <w:r w:rsidRPr="0012003F">
        <w:rPr>
          <w:strike/>
        </w:rPr>
        <w:tab/>
        <w:t>váhu indexu cen podnikatelských služeb,</w:t>
      </w:r>
    </w:p>
    <w:p w:rsidR="0012003F" w:rsidRPr="0012003F" w:rsidRDefault="0012003F" w:rsidP="005B6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jc w:val="both"/>
        <w:rPr>
          <w:strike/>
        </w:rPr>
      </w:pPr>
      <w:r w:rsidRPr="0012003F">
        <w:rPr>
          <w:strike/>
        </w:rPr>
        <w:t>e)</w:t>
      </w:r>
      <w:r w:rsidRPr="0012003F">
        <w:rPr>
          <w:strike/>
        </w:rPr>
        <w:tab/>
        <w:t>váhu indexu spotřebitelských cen a</w:t>
      </w:r>
    </w:p>
    <w:p w:rsidR="0012003F" w:rsidRPr="0012003F" w:rsidRDefault="0012003F" w:rsidP="005B6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jc w:val="both"/>
        <w:rPr>
          <w:strike/>
        </w:rPr>
      </w:pPr>
      <w:r w:rsidRPr="0012003F">
        <w:rPr>
          <w:strike/>
        </w:rPr>
        <w:t>f)</w:t>
      </w:r>
      <w:r w:rsidRPr="0012003F">
        <w:rPr>
          <w:strike/>
        </w:rPr>
        <w:tab/>
        <w:t>roční hodnotu míry výnosnosti regulační báze aktiv.</w:t>
      </w:r>
    </w:p>
    <w:p w:rsidR="005B64EA" w:rsidRDefault="005B64EA" w:rsidP="005B6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jc w:val="both"/>
      </w:pPr>
    </w:p>
    <w:p w:rsidR="005B64EA" w:rsidRPr="005B64EA" w:rsidRDefault="005B64EA" w:rsidP="005B6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jc w:val="both"/>
      </w:pPr>
      <w:r w:rsidRPr="005B64EA">
        <w:t>(</w:t>
      </w:r>
      <w:r w:rsidRPr="005B64EA">
        <w:rPr>
          <w:strike/>
        </w:rPr>
        <w:t>2</w:t>
      </w:r>
      <w:r w:rsidRPr="005B64EA">
        <w:rPr>
          <w:b/>
        </w:rPr>
        <w:t>3</w:t>
      </w:r>
      <w:r w:rsidRPr="005B64EA">
        <w:t>)</w:t>
      </w:r>
      <w:r w:rsidRPr="005B64EA">
        <w:tab/>
        <w:t>Pro regulační období Úřad provozovateli distribuční soustavy oznámí hodnoty parametrů regulačního vzorce v tomto rozsahu:</w:t>
      </w:r>
    </w:p>
    <w:p w:rsidR="005B64EA" w:rsidRPr="005B64EA" w:rsidRDefault="005B64EA" w:rsidP="005B6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jc w:val="both"/>
      </w:pPr>
      <w:r w:rsidRPr="005B64EA">
        <w:t>a)</w:t>
      </w:r>
      <w:r w:rsidRPr="005B64EA">
        <w:tab/>
        <w:t>výchozí hodnotu povolených nákladů,</w:t>
      </w:r>
    </w:p>
    <w:p w:rsidR="005B64EA" w:rsidRPr="005B64EA" w:rsidRDefault="005B64EA" w:rsidP="005B6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jc w:val="both"/>
      </w:pPr>
      <w:r w:rsidRPr="005B64EA">
        <w:t>b)</w:t>
      </w:r>
      <w:r w:rsidRPr="005B64EA">
        <w:tab/>
        <w:t>výchozí hodnotu regulační báze aktiv</w:t>
      </w:r>
      <w:r w:rsidRPr="005B64EA">
        <w:rPr>
          <w:strike/>
        </w:rPr>
        <w:t>,</w:t>
      </w:r>
      <w:r>
        <w:t xml:space="preserve"> </w:t>
      </w:r>
      <w:r w:rsidRPr="005B64EA">
        <w:rPr>
          <w:b/>
        </w:rPr>
        <w:t>a</w:t>
      </w:r>
    </w:p>
    <w:p w:rsidR="005B64EA" w:rsidRPr="005B64EA" w:rsidRDefault="005B64EA" w:rsidP="005B6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jc w:val="both"/>
        <w:rPr>
          <w:strike/>
        </w:rPr>
      </w:pPr>
      <w:r w:rsidRPr="005B64EA">
        <w:rPr>
          <w:strike/>
        </w:rPr>
        <w:t>c)</w:t>
      </w:r>
      <w:r w:rsidRPr="005B64EA">
        <w:rPr>
          <w:strike/>
        </w:rPr>
        <w:tab/>
        <w:t>roční hodnotu faktoru efektivity,</w:t>
      </w:r>
    </w:p>
    <w:p w:rsidR="005B64EA" w:rsidRPr="005B64EA" w:rsidRDefault="005B64EA" w:rsidP="005B6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jc w:val="both"/>
        <w:rPr>
          <w:strike/>
        </w:rPr>
      </w:pPr>
      <w:r w:rsidRPr="005B64EA">
        <w:rPr>
          <w:strike/>
        </w:rPr>
        <w:t>d)</w:t>
      </w:r>
      <w:r w:rsidRPr="005B64EA">
        <w:rPr>
          <w:strike/>
        </w:rPr>
        <w:tab/>
        <w:t>váhu indexu cen podnikatelských služeb,</w:t>
      </w:r>
    </w:p>
    <w:p w:rsidR="005B64EA" w:rsidRPr="005B64EA" w:rsidRDefault="005B64EA" w:rsidP="005B6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jc w:val="both"/>
        <w:rPr>
          <w:strike/>
        </w:rPr>
      </w:pPr>
      <w:r w:rsidRPr="005B64EA">
        <w:rPr>
          <w:strike/>
        </w:rPr>
        <w:t>e)</w:t>
      </w:r>
      <w:r w:rsidRPr="005B64EA">
        <w:rPr>
          <w:strike/>
        </w:rPr>
        <w:tab/>
        <w:t>váhu indexu spotřebitelských cen,</w:t>
      </w:r>
    </w:p>
    <w:p w:rsidR="005B64EA" w:rsidRPr="005B64EA" w:rsidRDefault="005B64EA" w:rsidP="005B6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jc w:val="both"/>
        <w:rPr>
          <w:strike/>
        </w:rPr>
      </w:pPr>
      <w:r w:rsidRPr="005B64EA">
        <w:rPr>
          <w:strike/>
        </w:rPr>
        <w:t>f)</w:t>
      </w:r>
      <w:r w:rsidRPr="005B64EA">
        <w:rPr>
          <w:strike/>
        </w:rPr>
        <w:tab/>
        <w:t>roční hodnotu míry výnosnosti regulační báze aktiv a</w:t>
      </w:r>
    </w:p>
    <w:p w:rsidR="0012003F" w:rsidRPr="005B64EA" w:rsidRDefault="005B64EA" w:rsidP="005B6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jc w:val="both"/>
      </w:pPr>
      <w:proofErr w:type="spellStart"/>
      <w:r w:rsidRPr="005B64EA">
        <w:rPr>
          <w:strike/>
        </w:rPr>
        <w:t>g</w:t>
      </w:r>
      <w:r w:rsidRPr="005B64EA">
        <w:rPr>
          <w:b/>
        </w:rPr>
        <w:t>c</w:t>
      </w:r>
      <w:proofErr w:type="spellEnd"/>
      <w:r w:rsidRPr="005B64EA">
        <w:t>)</w:t>
      </w:r>
      <w:r w:rsidRPr="005B64EA">
        <w:tab/>
        <w:t>povolené množství plynu na krytí ztrát a vlastní technologickou spotřebu.</w:t>
      </w:r>
    </w:p>
    <w:p w:rsidR="005B64EA" w:rsidRDefault="005B64EA" w:rsidP="005B6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jc w:val="both"/>
      </w:pPr>
    </w:p>
    <w:p w:rsidR="005B64EA" w:rsidRPr="005B64EA" w:rsidRDefault="005B64EA" w:rsidP="005B6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jc w:val="both"/>
      </w:pPr>
      <w:r w:rsidRPr="005B64EA">
        <w:t>(</w:t>
      </w:r>
      <w:r w:rsidRPr="005B64EA">
        <w:rPr>
          <w:strike/>
        </w:rPr>
        <w:t>3</w:t>
      </w:r>
      <w:r w:rsidRPr="005B64EA">
        <w:rPr>
          <w:b/>
        </w:rPr>
        <w:t>4</w:t>
      </w:r>
      <w:r w:rsidRPr="005B64EA">
        <w:t>)</w:t>
      </w:r>
      <w:r w:rsidRPr="005B64EA">
        <w:tab/>
        <w:t xml:space="preserve">Změny hodnot parametrů regulačního vzorce podle odstavce </w:t>
      </w:r>
      <w:r w:rsidRPr="005B64EA">
        <w:rPr>
          <w:strike/>
        </w:rPr>
        <w:t>1</w:t>
      </w:r>
      <w:r w:rsidRPr="005B64EA">
        <w:rPr>
          <w:b/>
        </w:rPr>
        <w:t>2</w:t>
      </w:r>
      <w:r w:rsidRPr="005B64EA">
        <w:t xml:space="preserve"> a </w:t>
      </w:r>
      <w:r w:rsidRPr="005B64EA">
        <w:rPr>
          <w:strike/>
        </w:rPr>
        <w:t>2</w:t>
      </w:r>
      <w:r w:rsidRPr="005B64EA">
        <w:rPr>
          <w:b/>
        </w:rPr>
        <w:t>3</w:t>
      </w:r>
      <w:r w:rsidRPr="005B64EA">
        <w:t xml:space="preserve"> jsou v průběhu regulačního období možné jen v případech</w:t>
      </w:r>
    </w:p>
    <w:p w:rsidR="005B64EA" w:rsidRPr="005B64EA" w:rsidRDefault="005B64EA" w:rsidP="005B6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jc w:val="both"/>
      </w:pPr>
      <w:r w:rsidRPr="005B64EA">
        <w:t>a)</w:t>
      </w:r>
      <w:r w:rsidRPr="005B64EA">
        <w:tab/>
        <w:t>změn právní úpravy bezprostředně se vztahující k licencované činnosti držitele licence, které mají podstatný dopad na hodnoty parametrů regulačního vzorce,</w:t>
      </w:r>
    </w:p>
    <w:p w:rsidR="005B64EA" w:rsidRPr="005B64EA" w:rsidRDefault="005B64EA" w:rsidP="005B6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jc w:val="both"/>
      </w:pPr>
      <w:r w:rsidRPr="005B64EA">
        <w:t>b)</w:t>
      </w:r>
      <w:r w:rsidRPr="005B64EA">
        <w:tab/>
        <w:t>mimořádných změn na trhu s plynem nebo jiných mimořádných změn v národním hospodářství hodných zvláštního zřetele, nebo</w:t>
      </w:r>
    </w:p>
    <w:p w:rsidR="0012003F" w:rsidRPr="005B64EA" w:rsidRDefault="005B64EA" w:rsidP="005B6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jc w:val="both"/>
      </w:pPr>
      <w:r w:rsidRPr="005B64EA">
        <w:t>c)</w:t>
      </w:r>
      <w:r w:rsidRPr="005B64EA">
        <w:tab/>
        <w:t>určení hodnot parametrů na základě nesprávných, neúplných či nepravdivých podkladů nebo údajů.</w:t>
      </w:r>
    </w:p>
    <w:p w:rsidR="0012003F" w:rsidRDefault="0012003F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F0605D" w:rsidRPr="005B64EA" w:rsidRDefault="00F0605D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822B6B" w:rsidRDefault="00E02E9C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C3752E">
        <w:rPr>
          <w:b/>
        </w:rPr>
        <w:t>O</w:t>
      </w:r>
      <w:r>
        <w:rPr>
          <w:b/>
        </w:rPr>
        <w:t>důvodnění:</w:t>
      </w:r>
    </w:p>
    <w:p w:rsidR="00822B6B" w:rsidRDefault="00822B6B" w:rsidP="00822B6B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 w:rsidRPr="00B967FD">
        <w:t xml:space="preserve">Ve </w:t>
      </w:r>
      <w:r>
        <w:t>Zprávě</w:t>
      </w:r>
      <w:r w:rsidRPr="00317A76">
        <w:t xml:space="preserve"> Energetického regulačního úřadu o metodice regulace IV. regulačního období pro odvětví elektroenergetiky a plynárenství </w:t>
      </w:r>
      <w:r>
        <w:t>ze dne 16. 2. 2015 (dále jen Zpráva)</w:t>
      </w:r>
      <w:r w:rsidR="003A1108">
        <w:t>, která byla předmětem veřejného konzultačního procesu dle</w:t>
      </w:r>
      <w:r w:rsidR="00A200C8">
        <w:t xml:space="preserve"> §</w:t>
      </w:r>
      <w:proofErr w:type="spellStart"/>
      <w:r w:rsidR="00A200C8">
        <w:t>17e</w:t>
      </w:r>
      <w:proofErr w:type="spellEnd"/>
      <w:r w:rsidR="00A200C8">
        <w:t xml:space="preserve"> energetického zákona, </w:t>
      </w:r>
      <w:r>
        <w:t xml:space="preserve">Energetický </w:t>
      </w:r>
      <w:r>
        <w:lastRenderedPageBreak/>
        <w:t>regulační ú</w:t>
      </w:r>
      <w:r w:rsidRPr="00B967FD">
        <w:t>řad</w:t>
      </w:r>
      <w:r>
        <w:t xml:space="preserve"> (dále jen Úřad) </w:t>
      </w:r>
      <w:r w:rsidRPr="00B967FD">
        <w:t xml:space="preserve">stanovil </w:t>
      </w:r>
      <w:r>
        <w:t xml:space="preserve">konkrétní </w:t>
      </w:r>
      <w:r w:rsidRPr="00B967FD">
        <w:t xml:space="preserve">hodnoty </w:t>
      </w:r>
      <w:r>
        <w:t>parametrů míry výnosnosti regulační báze aktiv (WACC), váhy indexu cen podnikatelských služeb, váhy indexu spotřebitelských cen a</w:t>
      </w:r>
      <w:r w:rsidR="00960FBA">
        <w:t> </w:t>
      </w:r>
      <w:r>
        <w:t>roční hodnotu faktoru efektivity</w:t>
      </w:r>
      <w:r w:rsidRPr="00B967FD">
        <w:t xml:space="preserve"> jako pevné pro </w:t>
      </w:r>
      <w:r w:rsidR="00960FBA" w:rsidRPr="00960FBA">
        <w:t xml:space="preserve">všechny regulované subjekty v plynárenství </w:t>
      </w:r>
      <w:r w:rsidR="00960FBA">
        <w:t xml:space="preserve">po </w:t>
      </w:r>
      <w:r w:rsidRPr="00B967FD">
        <w:t>celé regulační období</w:t>
      </w:r>
      <w:r w:rsidR="00960FBA">
        <w:t>:</w:t>
      </w:r>
    </w:p>
    <w:p w:rsidR="00822B6B" w:rsidRDefault="00960FBA" w:rsidP="00960FBA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240" w:lineRule="auto"/>
        <w:ind w:left="142" w:hanging="142"/>
        <w:jc w:val="both"/>
      </w:pPr>
      <w:r>
        <w:t>-</w:t>
      </w:r>
      <w:r>
        <w:tab/>
        <w:t xml:space="preserve">na </w:t>
      </w:r>
      <w:r w:rsidRPr="00960FBA">
        <w:t>str.</w:t>
      </w:r>
      <w:r>
        <w:t xml:space="preserve"> </w:t>
      </w:r>
      <w:r w:rsidRPr="00960FBA">
        <w:t xml:space="preserve">17 Zprávy (v části 2.7 Eskalační faktor nákladů) se uvádí, že u tohoto parametru </w:t>
      </w:r>
      <w:r>
        <w:t>Úřad</w:t>
      </w:r>
      <w:r w:rsidRPr="00960FBA">
        <w:t xml:space="preserve"> rozhodl zachovat praxi stávajícího regulačního období, to je pokračování stávajícího trendu eskalace složeným eskalačním faktorem, který se skládá </w:t>
      </w:r>
      <w:r w:rsidRPr="00960FBA">
        <w:rPr>
          <w:b/>
        </w:rPr>
        <w:t>z indexu cen podnikatelských služeb</w:t>
      </w:r>
      <w:r w:rsidRPr="00960FBA">
        <w:t xml:space="preserve"> (</w:t>
      </w:r>
      <w:proofErr w:type="spellStart"/>
      <w:r w:rsidRPr="00960FBA">
        <w:t>subindex</w:t>
      </w:r>
      <w:proofErr w:type="spellEnd"/>
      <w:r w:rsidRPr="00960FBA">
        <w:t xml:space="preserve"> indexu cen tržních služeb) s </w:t>
      </w:r>
      <w:r w:rsidRPr="00960FBA">
        <w:rPr>
          <w:b/>
        </w:rPr>
        <w:t>váhou 70 %</w:t>
      </w:r>
      <w:r w:rsidRPr="00960FBA">
        <w:t xml:space="preserve"> a </w:t>
      </w:r>
      <w:r w:rsidRPr="00960FBA">
        <w:rPr>
          <w:b/>
        </w:rPr>
        <w:t>indexu spotřebitelských cen</w:t>
      </w:r>
      <w:r w:rsidRPr="00960FBA">
        <w:t xml:space="preserve"> s </w:t>
      </w:r>
      <w:proofErr w:type="gramStart"/>
      <w:r w:rsidRPr="00960FBA">
        <w:t>1%</w:t>
      </w:r>
      <w:proofErr w:type="gramEnd"/>
      <w:r w:rsidRPr="00960FBA">
        <w:t xml:space="preserve"> bonusem a </w:t>
      </w:r>
      <w:r w:rsidRPr="00960FBA">
        <w:rPr>
          <w:b/>
        </w:rPr>
        <w:t>váhou 30 %</w:t>
      </w:r>
      <w:r w:rsidRPr="00960FBA">
        <w:t>, zveřejněných Českým statistickým úřadem za měsíc duben příslušného roku;</w:t>
      </w:r>
    </w:p>
    <w:p w:rsidR="00822B6B" w:rsidRDefault="00960FBA" w:rsidP="00960FBA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</w:pPr>
      <w:r>
        <w:t>-</w:t>
      </w:r>
      <w:r>
        <w:tab/>
      </w:r>
      <w:r w:rsidRPr="00960FBA">
        <w:t>na str.</w:t>
      </w:r>
      <w:r>
        <w:t xml:space="preserve"> </w:t>
      </w:r>
      <w:r w:rsidRPr="00960FBA">
        <w:t xml:space="preserve">17 Zprávy (v části 2.8 Faktor efektivity (X)) se uvádí, že pro IV. RO stanoví </w:t>
      </w:r>
      <w:r>
        <w:t>Úřad</w:t>
      </w:r>
      <w:r w:rsidRPr="00960FBA">
        <w:t xml:space="preserve"> tuto hodnotu na 3 %, což představuje meziroční snížení nákladů o </w:t>
      </w:r>
      <w:r w:rsidRPr="00960FBA">
        <w:rPr>
          <w:b/>
        </w:rPr>
        <w:t>1,01 %</w:t>
      </w:r>
      <w:r w:rsidRPr="00960FBA">
        <w:t>;</w:t>
      </w:r>
    </w:p>
    <w:p w:rsidR="00960FBA" w:rsidRDefault="00960FBA" w:rsidP="00960FBA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240" w:lineRule="auto"/>
        <w:ind w:left="142" w:hanging="142"/>
        <w:jc w:val="both"/>
      </w:pPr>
      <w:r>
        <w:t>-</w:t>
      </w:r>
      <w:r>
        <w:tab/>
      </w:r>
      <w:r w:rsidRPr="00960FBA">
        <w:t>na str.</w:t>
      </w:r>
      <w:r>
        <w:t xml:space="preserve"> </w:t>
      </w:r>
      <w:r w:rsidRPr="00960FBA">
        <w:t>16 Zprávy (v části 2.5 Míra výnosnosti (WACC)) se uvádí tabulka stanovení hodnot WACC na IV. RO pro činnosti distribuce a přepravy v</w:t>
      </w:r>
      <w:r>
        <w:t> </w:t>
      </w:r>
      <w:r w:rsidRPr="00960FBA">
        <w:t>plynárenství</w:t>
      </w:r>
      <w:r>
        <w:t xml:space="preserve">, kde </w:t>
      </w:r>
      <w:r w:rsidRPr="00960FBA">
        <w:t>hodnot</w:t>
      </w:r>
      <w:r>
        <w:t>a</w:t>
      </w:r>
      <w:r w:rsidRPr="00960FBA">
        <w:t xml:space="preserve"> </w:t>
      </w:r>
      <w:r w:rsidRPr="00960FBA">
        <w:rPr>
          <w:b/>
        </w:rPr>
        <w:t>roční míry výnosnosti regulační báze</w:t>
      </w:r>
      <w:r w:rsidRPr="00960FBA">
        <w:t xml:space="preserve"> aktiv </w:t>
      </w:r>
      <w:r>
        <w:t xml:space="preserve">je </w:t>
      </w:r>
      <w:r w:rsidRPr="00960FBA">
        <w:rPr>
          <w:b/>
        </w:rPr>
        <w:t>7,94 %</w:t>
      </w:r>
      <w:r>
        <w:t>.</w:t>
      </w:r>
    </w:p>
    <w:p w:rsidR="00A200C8" w:rsidRDefault="00A200C8" w:rsidP="00822B6B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</w:p>
    <w:p w:rsidR="00960FBA" w:rsidRDefault="003A1108" w:rsidP="00822B6B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>
        <w:t>Z</w:t>
      </w:r>
      <w:r w:rsidR="00822B6B">
        <w:t> důvodu zajištění právní jistoty</w:t>
      </w:r>
      <w:r>
        <w:t xml:space="preserve"> navrhujeme </w:t>
      </w:r>
      <w:r w:rsidR="00822B6B">
        <w:t xml:space="preserve">zakotvit pevně stanovené parametry přímo v textu </w:t>
      </w:r>
      <w:r w:rsidR="009257D2">
        <w:t>v</w:t>
      </w:r>
      <w:r w:rsidR="00822B6B">
        <w:t>yhlášky</w:t>
      </w:r>
      <w:r w:rsidR="00822B6B" w:rsidRPr="00A312B8">
        <w:t xml:space="preserve"> o způsobu regulace cen</w:t>
      </w:r>
      <w:r w:rsidR="00822B6B">
        <w:t xml:space="preserve"> (dále jen Vyhláška). </w:t>
      </w:r>
      <w:r w:rsidR="002C1016">
        <w:t xml:space="preserve">Uvedení těchto konkrétních hodnot regulačních parametrů ve Vyhlášce je předpokladem </w:t>
      </w:r>
      <w:r w:rsidR="00822B6B" w:rsidRPr="00433EBD">
        <w:t>zajištění transparentnosti a předvídatelnosti</w:t>
      </w:r>
      <w:r>
        <w:t xml:space="preserve"> </w:t>
      </w:r>
      <w:r w:rsidR="002C1016">
        <w:t xml:space="preserve">regulace </w:t>
      </w:r>
      <w:r>
        <w:t>pro regulované subjekty a konečné zákazníky</w:t>
      </w:r>
      <w:r w:rsidR="00822B6B">
        <w:t xml:space="preserve">, což je jedním ze základních principů výkonu pravomocí Úřadu </w:t>
      </w:r>
      <w:r w:rsidR="002C1016">
        <w:t>dle §17 odst. 3 energetického zákona</w:t>
      </w:r>
      <w:r w:rsidR="00A200C8">
        <w:t>,</w:t>
      </w:r>
      <w:r w:rsidR="002C1016">
        <w:t xml:space="preserve"> </w:t>
      </w:r>
      <w:r w:rsidR="00822B6B">
        <w:t>a zároveň cílem navrhované Vyhlášky</w:t>
      </w:r>
      <w:r w:rsidR="00960FBA">
        <w:t>.</w:t>
      </w:r>
    </w:p>
    <w:p w:rsidR="003A1108" w:rsidRDefault="003A1108" w:rsidP="003A1108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</w:p>
    <w:p w:rsidR="003A1108" w:rsidRDefault="003A1108" w:rsidP="003A1108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>
        <w:t>Vzhledem k tomu, že výše uvedené p</w:t>
      </w:r>
      <w:r w:rsidRPr="00822B6B">
        <w:t>arametry</w:t>
      </w:r>
      <w:r>
        <w:t xml:space="preserve"> </w:t>
      </w:r>
      <w:r w:rsidRPr="00822B6B">
        <w:t xml:space="preserve">nejsou individuální (specifické) pro konkrétní společnost, ale platí plošně pro celý regulovaný sektor plynárenství a po celou dobu trvání regulačního období, </w:t>
      </w:r>
      <w:r>
        <w:t xml:space="preserve">neexistuje </w:t>
      </w:r>
      <w:r w:rsidR="002C1016">
        <w:t xml:space="preserve">žádný </w:t>
      </w:r>
      <w:r>
        <w:t xml:space="preserve">legislativní důvod, který by uvedení konkrétních číselných hodnot </w:t>
      </w:r>
      <w:r w:rsidR="002C1016">
        <w:t xml:space="preserve">regulačních parametrů </w:t>
      </w:r>
      <w:r w:rsidR="009257D2">
        <w:t>přímo ve V</w:t>
      </w:r>
      <w:r w:rsidRPr="00822B6B">
        <w:t>yhlášce</w:t>
      </w:r>
      <w:r>
        <w:t xml:space="preserve"> bránil</w:t>
      </w:r>
      <w:r w:rsidRPr="00822B6B">
        <w:t>.</w:t>
      </w:r>
    </w:p>
    <w:p w:rsidR="00822B6B" w:rsidRDefault="00822B6B" w:rsidP="00822B6B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</w:p>
    <w:p w:rsidR="00822B6B" w:rsidRDefault="00822B6B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 w:rsidRPr="00822B6B">
        <w:t>Hodnoty parametrů uvedených v</w:t>
      </w:r>
      <w:r w:rsidR="00960FBA">
        <w:t xml:space="preserve"> novém </w:t>
      </w:r>
      <w:r w:rsidRPr="00822B6B">
        <w:t>odst</w:t>
      </w:r>
      <w:r w:rsidR="00960FBA">
        <w:t xml:space="preserve">avci </w:t>
      </w:r>
      <w:r w:rsidRPr="00822B6B">
        <w:t xml:space="preserve">1 </w:t>
      </w:r>
      <w:r w:rsidR="00E81198">
        <w:t xml:space="preserve">pod </w:t>
      </w:r>
      <w:r w:rsidRPr="00822B6B">
        <w:t>písm</w:t>
      </w:r>
      <w:r w:rsidR="00960FBA">
        <w:t>en</w:t>
      </w:r>
      <w:r w:rsidR="00E81198">
        <w:t>y</w:t>
      </w:r>
      <w:r w:rsidRPr="00822B6B">
        <w:t xml:space="preserve"> a), b) a c) nejsou </w:t>
      </w:r>
      <w:r w:rsidR="002C1016">
        <w:t xml:space="preserve">rovněž </w:t>
      </w:r>
      <w:r w:rsidRPr="00822B6B">
        <w:t>z povahy věci dotčeny žádnou z okolností uvedených v</w:t>
      </w:r>
      <w:r w:rsidR="00E81198">
        <w:t> </w:t>
      </w:r>
      <w:r w:rsidRPr="00822B6B">
        <w:t xml:space="preserve">§ </w:t>
      </w:r>
      <w:r w:rsidR="00E81198">
        <w:t>3</w:t>
      </w:r>
      <w:r w:rsidRPr="00822B6B">
        <w:t xml:space="preserve"> odst</w:t>
      </w:r>
      <w:r w:rsidR="00E81198">
        <w:t>avci (nově) 4</w:t>
      </w:r>
      <w:r w:rsidRPr="00822B6B">
        <w:t>, které představují důvody ke změně parametrů regulačního vzorce</w:t>
      </w:r>
      <w:r w:rsidR="00E81198">
        <w:t>,</w:t>
      </w:r>
      <w:r w:rsidRPr="00822B6B">
        <w:t xml:space="preserve"> stanovených pro celé regulační období. </w:t>
      </w:r>
      <w:bookmarkStart w:id="0" w:name="_GoBack"/>
      <w:bookmarkEnd w:id="0"/>
      <w:r w:rsidRPr="00822B6B">
        <w:t>Hodnota parametru v</w:t>
      </w:r>
      <w:r w:rsidR="00E81198">
        <w:t xml:space="preserve"> novém </w:t>
      </w:r>
      <w:r w:rsidRPr="00822B6B">
        <w:t xml:space="preserve">odstavci 1 písm. d) je podle </w:t>
      </w:r>
      <w:r w:rsidR="00E81198">
        <w:t>Zprávy</w:t>
      </w:r>
      <w:r w:rsidRPr="00822B6B">
        <w:t xml:space="preserve"> pevná pro celé regulační období s výjimkou případů, kdy dojde ke změně sazby daně z příjmů právnických osob. Tato změna sazby nastane pouze v</w:t>
      </w:r>
      <w:r w:rsidR="00E81198">
        <w:t> </w:t>
      </w:r>
      <w:r w:rsidRPr="00822B6B">
        <w:t xml:space="preserve">návaznosti na případné schválení změny zákona o daních z příjmů, a v takovém případě </w:t>
      </w:r>
      <w:r w:rsidR="00E81198">
        <w:t>zákon stanovuje</w:t>
      </w:r>
      <w:r w:rsidRPr="00822B6B">
        <w:t xml:space="preserve"> přechodné období, během kterého je potřeba zajistit soulad dotčených podzákonných předpisů s novým zněním, </w:t>
      </w:r>
      <w:r w:rsidR="00E81198">
        <w:t xml:space="preserve">tj. </w:t>
      </w:r>
      <w:r w:rsidRPr="00822B6B">
        <w:t>dostatečnou lhůtu i pro změnu této Vyhlášky.</w:t>
      </w:r>
    </w:p>
    <w:p w:rsidR="00822B6B" w:rsidRPr="00822B6B" w:rsidRDefault="00822B6B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</w:p>
    <w:p w:rsidR="00DC3EB8" w:rsidRPr="00B5722B" w:rsidRDefault="00DC3EB8" w:rsidP="00E02E9C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  <w:rPr>
          <w:b/>
        </w:rPr>
      </w:pPr>
    </w:p>
    <w:p w:rsidR="00E02E9C" w:rsidRPr="00B5722B" w:rsidRDefault="00E02E9C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B5722B">
        <w:rPr>
          <w:b/>
        </w:rPr>
        <w:t>Připomínka k</w:t>
      </w:r>
      <w:r w:rsidR="000D1539" w:rsidRPr="00B5722B">
        <w:rPr>
          <w:b/>
        </w:rPr>
        <w:t> příloze č. 3</w:t>
      </w:r>
    </w:p>
    <w:p w:rsidR="00B5722B" w:rsidRPr="00B5722B" w:rsidRDefault="00B5722B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>N</w:t>
      </w:r>
      <w:r w:rsidRPr="00B5722B">
        <w:t xml:space="preserve">avrhujeme </w:t>
      </w:r>
      <w:r>
        <w:t>v</w:t>
      </w:r>
      <w:r w:rsidRPr="00B5722B">
        <w:t xml:space="preserve"> příloze č</w:t>
      </w:r>
      <w:r>
        <w:t>íslo</w:t>
      </w:r>
      <w:r w:rsidRPr="00B5722B">
        <w:t xml:space="preserve"> 3 návrhu vyhlášky (Postup stanovení korekčních faktorů), v části B) Korekční faktory pro provozovatele distribuční soustavy, v bodě (6) Korekční faktor pro činnost distribuce plynu </w:t>
      </w:r>
      <w:proofErr w:type="spellStart"/>
      <w:r w:rsidRPr="00B5722B">
        <w:t>KF</w:t>
      </w:r>
      <w:r w:rsidRPr="00B5722B">
        <w:rPr>
          <w:vertAlign w:val="subscript"/>
        </w:rPr>
        <w:t>dpi</w:t>
      </w:r>
      <w:proofErr w:type="spellEnd"/>
      <w:r w:rsidRPr="00B5722B">
        <w:t>,</w:t>
      </w:r>
      <w:r>
        <w:t xml:space="preserve"> </w:t>
      </w:r>
      <w:r w:rsidRPr="00B5722B">
        <w:t>upravit definici parametru CT</w:t>
      </w:r>
      <w:r w:rsidRPr="00B5722B">
        <w:rPr>
          <w:vertAlign w:val="subscript"/>
        </w:rPr>
        <w:t>dpi-2</w:t>
      </w:r>
      <w:r>
        <w:t xml:space="preserve"> následovně:</w:t>
      </w:r>
    </w:p>
    <w:p w:rsidR="00B5722B" w:rsidRDefault="00B5722B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B5722B" w:rsidRDefault="00B5722B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B5722B">
        <w:t>CT</w:t>
      </w:r>
      <w:r w:rsidRPr="00B5722B">
        <w:rPr>
          <w:vertAlign w:val="subscript"/>
        </w:rPr>
        <w:t>dpi-2</w:t>
      </w:r>
      <w:r>
        <w:t xml:space="preserve"> </w:t>
      </w:r>
      <w:r w:rsidRPr="003A1108">
        <w:t>[</w:t>
      </w:r>
      <w:r w:rsidRPr="00B5722B">
        <w:t xml:space="preserve">Kč] jsou celkové dosažené výnosy za činnost distribuce plynu včetně výnosů za přepravu do domácího bodu za rok i-2 bez hodnoty výnosů za služby operátora trhu vykázané podle vyhlášky o regulačním výkaznictví </w:t>
      </w:r>
      <w:r w:rsidRPr="00B5722B">
        <w:rPr>
          <w:b/>
        </w:rPr>
        <w:t xml:space="preserve">a bez hodnoty části distribučních výnosů od konečných zákazníků, která je určena k úhradě </w:t>
      </w:r>
      <w:r>
        <w:rPr>
          <w:b/>
        </w:rPr>
        <w:t>Ú</w:t>
      </w:r>
      <w:r w:rsidRPr="00B5722B">
        <w:rPr>
          <w:b/>
        </w:rPr>
        <w:t>řadem schválených nákladů provozovatele distribuční soustavy</w:t>
      </w:r>
      <w:r>
        <w:rPr>
          <w:b/>
        </w:rPr>
        <w:t>,</w:t>
      </w:r>
      <w:r w:rsidRPr="00B5722B">
        <w:rPr>
          <w:b/>
        </w:rPr>
        <w:t xml:space="preserve"> vynaložených na aktivaci nevyužívaných přípojek u těchto zákazníků</w:t>
      </w:r>
      <w:r w:rsidRPr="00B5722B">
        <w:t>.</w:t>
      </w:r>
    </w:p>
    <w:p w:rsidR="00B5722B" w:rsidRDefault="00B5722B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F0605D" w:rsidRDefault="00F0605D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5E18FD" w:rsidRDefault="00E02E9C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C3752E">
        <w:rPr>
          <w:b/>
        </w:rPr>
        <w:t>O</w:t>
      </w:r>
      <w:r>
        <w:rPr>
          <w:b/>
        </w:rPr>
        <w:t>důvodnění:</w:t>
      </w:r>
    </w:p>
    <w:p w:rsidR="005E18FD" w:rsidRPr="005E18FD" w:rsidRDefault="005E18FD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>
        <w:t>Navrhovaná úprava u</w:t>
      </w:r>
      <w:r w:rsidRPr="005E18FD">
        <w:t>možn</w:t>
      </w:r>
      <w:r>
        <w:t xml:space="preserve">í </w:t>
      </w:r>
      <w:r w:rsidRPr="005E18FD">
        <w:t>podpor</w:t>
      </w:r>
      <w:r>
        <w:t>u</w:t>
      </w:r>
      <w:r w:rsidRPr="005E18FD">
        <w:t xml:space="preserve"> distribuce plynu na neaktivních přípojkách</w:t>
      </w:r>
      <w:r>
        <w:t>. M</w:t>
      </w:r>
      <w:r w:rsidRPr="005E18FD">
        <w:t xml:space="preserve">ožnost poskytnutí systémové podpory pro aktivaci nevyužívaných plynovodních přípojek prostřednictvím cenové regulace </w:t>
      </w:r>
      <w:r>
        <w:t xml:space="preserve">považujeme </w:t>
      </w:r>
      <w:r w:rsidRPr="005E18FD">
        <w:t>za důležitý nástroj jak ke zlepšení životního prostředí, tak i ke snížení budoucích jednotkových nákladů na distribuci plynu u zákazníků.</w:t>
      </w:r>
    </w:p>
    <w:p w:rsidR="00F0605D" w:rsidRDefault="00F0605D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</w:p>
    <w:p w:rsidR="005E18FD" w:rsidRPr="005E18FD" w:rsidRDefault="00F0605D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>
        <w:lastRenderedPageBreak/>
        <w:t>N</w:t>
      </w:r>
      <w:r w:rsidRPr="00F0605D">
        <w:t>avrhovaná úprava znamená, že na straně upravených povolených výnosů nebudou vznikat žádné dodatečné vícenáklady pro stávající zákazníky v soustavě, přičemž ale zároveň noví zákazníci (příjemci případné návratné podpory pro aktivaci nevyužívaných přípojek) nebudou, po přechodnou dobu splácení/hrazení přijaté podpory, svými distribučními poplatky přispívat k</w:t>
      </w:r>
      <w:r>
        <w:t> </w:t>
      </w:r>
      <w:r w:rsidRPr="00F0605D">
        <w:t>úhradě ostatních nákladů v</w:t>
      </w:r>
      <w:r>
        <w:t> </w:t>
      </w:r>
      <w:r w:rsidRPr="00F0605D">
        <w:t>soustavě</w:t>
      </w:r>
      <w:r>
        <w:t xml:space="preserve">. Nenastane </w:t>
      </w:r>
      <w:r w:rsidRPr="00F0605D">
        <w:t xml:space="preserve">tedy žádná změna oproti současnému stavu. Zároveň se </w:t>
      </w:r>
      <w:r>
        <w:t xml:space="preserve">tím </w:t>
      </w:r>
      <w:r w:rsidRPr="00F0605D">
        <w:t>však otevře možnost zavést v cenové regulaci žádoucí mechanismus regulované podpory na oživení neaktivních přípojek.</w:t>
      </w:r>
    </w:p>
    <w:p w:rsidR="005E18FD" w:rsidRDefault="005E18FD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</w:p>
    <w:p w:rsidR="00F0605D" w:rsidRPr="005E18FD" w:rsidRDefault="00F0605D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 w:rsidRPr="00F0605D">
        <w:t xml:space="preserve">Bez </w:t>
      </w:r>
      <w:r>
        <w:t xml:space="preserve">navržené </w:t>
      </w:r>
      <w:r w:rsidRPr="00F0605D">
        <w:t>úpravy definice parametru CT</w:t>
      </w:r>
      <w:r w:rsidRPr="00F0605D">
        <w:rPr>
          <w:vertAlign w:val="subscript"/>
        </w:rPr>
        <w:t>dpi-2</w:t>
      </w:r>
      <w:r>
        <w:t xml:space="preserve"> </w:t>
      </w:r>
      <w:r w:rsidRPr="00F0605D">
        <w:t>[Kč] není ve stávajícím znění návrhu vyhlášky pro možnost poskytnutí jednorázové (návratné) finanční podpory pro aktivaci tzv. „mrtvých“ přípojek de facto žádný prostor.</w:t>
      </w:r>
    </w:p>
    <w:p w:rsidR="00E02E9C" w:rsidRPr="005E18FD" w:rsidRDefault="00E02E9C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</w:p>
    <w:p w:rsidR="0048475A" w:rsidRDefault="0048475A" w:rsidP="00FC6417">
      <w:pPr>
        <w:pStyle w:val="Odstavecseseznamem"/>
        <w:tabs>
          <w:tab w:val="left" w:pos="567"/>
        </w:tabs>
        <w:spacing w:after="0" w:line="240" w:lineRule="auto"/>
        <w:ind w:left="0"/>
        <w:jc w:val="both"/>
      </w:pPr>
    </w:p>
    <w:p w:rsidR="00A25D88" w:rsidRPr="00F0605D" w:rsidRDefault="00A25D88" w:rsidP="00FC6417">
      <w:pPr>
        <w:pStyle w:val="Odstavecseseznamem"/>
        <w:tabs>
          <w:tab w:val="left" w:pos="567"/>
        </w:tabs>
        <w:spacing w:after="0" w:line="240" w:lineRule="auto"/>
        <w:ind w:left="0"/>
        <w:jc w:val="both"/>
      </w:pPr>
      <w:r>
        <w:t>Praha 15. 5. 2015</w:t>
      </w:r>
    </w:p>
    <w:sectPr w:rsidR="00A25D88" w:rsidRPr="00F0605D" w:rsidSect="00FA7EA4">
      <w:headerReference w:type="default" r:id="rId7"/>
      <w:headerReference w:type="first" r:id="rId8"/>
      <w:pgSz w:w="11906" w:h="16838" w:code="9"/>
      <w:pgMar w:top="1843" w:right="1418" w:bottom="992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49B" w:rsidRDefault="0041049B" w:rsidP="00FA7EA4">
      <w:pPr>
        <w:spacing w:after="0" w:line="240" w:lineRule="auto"/>
      </w:pPr>
      <w:r>
        <w:separator/>
      </w:r>
    </w:p>
  </w:endnote>
  <w:endnote w:type="continuationSeparator" w:id="0">
    <w:p w:rsidR="0041049B" w:rsidRDefault="0041049B" w:rsidP="00FA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49B" w:rsidRDefault="0041049B" w:rsidP="00FA7EA4">
      <w:pPr>
        <w:spacing w:after="0" w:line="240" w:lineRule="auto"/>
      </w:pPr>
      <w:r>
        <w:separator/>
      </w:r>
    </w:p>
  </w:footnote>
  <w:footnote w:type="continuationSeparator" w:id="0">
    <w:p w:rsidR="0041049B" w:rsidRDefault="0041049B" w:rsidP="00FA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EA4" w:rsidRDefault="00FA7EA4" w:rsidP="00FA7EA4">
    <w:pPr>
      <w:pStyle w:val="Zhlav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EA4" w:rsidRDefault="00FA7EA4" w:rsidP="00FA7EA4">
    <w:pPr>
      <w:pStyle w:val="Zhlav"/>
      <w:jc w:val="center"/>
    </w:pPr>
    <w:r w:rsidRPr="00FA7EA4">
      <w:drawing>
        <wp:inline distT="0" distB="0" distL="0" distR="0">
          <wp:extent cx="2870752" cy="762183"/>
          <wp:effectExtent l="19050" t="0" r="5798" b="0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668" cy="761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150D"/>
    <w:multiLevelType w:val="hybridMultilevel"/>
    <w:tmpl w:val="1748A934"/>
    <w:lvl w:ilvl="0" w:tplc="AFA4C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2ABB"/>
    <w:multiLevelType w:val="hybridMultilevel"/>
    <w:tmpl w:val="FACABB22"/>
    <w:lvl w:ilvl="0" w:tplc="88DA91F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F42B7"/>
    <w:multiLevelType w:val="hybridMultilevel"/>
    <w:tmpl w:val="80E2CB3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3676A"/>
    <w:multiLevelType w:val="hybridMultilevel"/>
    <w:tmpl w:val="262EF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6E155C"/>
    <w:multiLevelType w:val="hybridMultilevel"/>
    <w:tmpl w:val="1AA212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76731"/>
    <w:multiLevelType w:val="hybridMultilevel"/>
    <w:tmpl w:val="D2F0C802"/>
    <w:lvl w:ilvl="0" w:tplc="5E7C3FA4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565D8"/>
    <w:multiLevelType w:val="hybridMultilevel"/>
    <w:tmpl w:val="5D70E5EE"/>
    <w:lvl w:ilvl="0" w:tplc="133670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30F5B"/>
    <w:rsid w:val="0000748C"/>
    <w:rsid w:val="00025760"/>
    <w:rsid w:val="00030F5B"/>
    <w:rsid w:val="00085B92"/>
    <w:rsid w:val="000B5F11"/>
    <w:rsid w:val="000D1539"/>
    <w:rsid w:val="00102933"/>
    <w:rsid w:val="0012003F"/>
    <w:rsid w:val="00193D68"/>
    <w:rsid w:val="001B5C83"/>
    <w:rsid w:val="001E276E"/>
    <w:rsid w:val="001F4636"/>
    <w:rsid w:val="0023352E"/>
    <w:rsid w:val="00241F59"/>
    <w:rsid w:val="002515A5"/>
    <w:rsid w:val="00263AFD"/>
    <w:rsid w:val="00276473"/>
    <w:rsid w:val="002A3818"/>
    <w:rsid w:val="002B3746"/>
    <w:rsid w:val="002C1016"/>
    <w:rsid w:val="002F2828"/>
    <w:rsid w:val="002F792F"/>
    <w:rsid w:val="00302F26"/>
    <w:rsid w:val="0032279B"/>
    <w:rsid w:val="00324F39"/>
    <w:rsid w:val="0033789F"/>
    <w:rsid w:val="00376877"/>
    <w:rsid w:val="00381EA0"/>
    <w:rsid w:val="00383044"/>
    <w:rsid w:val="00385822"/>
    <w:rsid w:val="003A1108"/>
    <w:rsid w:val="003A2D75"/>
    <w:rsid w:val="003C78B9"/>
    <w:rsid w:val="003D2DAA"/>
    <w:rsid w:val="003E26AC"/>
    <w:rsid w:val="00402E21"/>
    <w:rsid w:val="0041049B"/>
    <w:rsid w:val="004238B4"/>
    <w:rsid w:val="004325EC"/>
    <w:rsid w:val="0048475A"/>
    <w:rsid w:val="00493533"/>
    <w:rsid w:val="004D5CCD"/>
    <w:rsid w:val="00503560"/>
    <w:rsid w:val="00535CAD"/>
    <w:rsid w:val="00552556"/>
    <w:rsid w:val="0055631D"/>
    <w:rsid w:val="00563DCD"/>
    <w:rsid w:val="005664DD"/>
    <w:rsid w:val="00595359"/>
    <w:rsid w:val="005B1309"/>
    <w:rsid w:val="005B64EA"/>
    <w:rsid w:val="005C70D0"/>
    <w:rsid w:val="005E18FD"/>
    <w:rsid w:val="00605069"/>
    <w:rsid w:val="00663593"/>
    <w:rsid w:val="00674FEE"/>
    <w:rsid w:val="00691289"/>
    <w:rsid w:val="006C7CE9"/>
    <w:rsid w:val="006E3A8F"/>
    <w:rsid w:val="007069C5"/>
    <w:rsid w:val="0077211F"/>
    <w:rsid w:val="0078571A"/>
    <w:rsid w:val="007E58AF"/>
    <w:rsid w:val="0081645A"/>
    <w:rsid w:val="00822B6B"/>
    <w:rsid w:val="00837558"/>
    <w:rsid w:val="00844545"/>
    <w:rsid w:val="0085074D"/>
    <w:rsid w:val="00867D97"/>
    <w:rsid w:val="00873A04"/>
    <w:rsid w:val="008A52AE"/>
    <w:rsid w:val="008C204F"/>
    <w:rsid w:val="008D27E7"/>
    <w:rsid w:val="008E140E"/>
    <w:rsid w:val="008F1D8D"/>
    <w:rsid w:val="009257D2"/>
    <w:rsid w:val="00926ECB"/>
    <w:rsid w:val="0093282D"/>
    <w:rsid w:val="00934F0B"/>
    <w:rsid w:val="00950081"/>
    <w:rsid w:val="00960FBA"/>
    <w:rsid w:val="009A08CE"/>
    <w:rsid w:val="009B3460"/>
    <w:rsid w:val="009C28C1"/>
    <w:rsid w:val="00A0284F"/>
    <w:rsid w:val="00A200C8"/>
    <w:rsid w:val="00A25D88"/>
    <w:rsid w:val="00A25DE2"/>
    <w:rsid w:val="00A45A4F"/>
    <w:rsid w:val="00AC3D97"/>
    <w:rsid w:val="00AC6BB7"/>
    <w:rsid w:val="00AD3A34"/>
    <w:rsid w:val="00AD4F46"/>
    <w:rsid w:val="00B40EC9"/>
    <w:rsid w:val="00B5722B"/>
    <w:rsid w:val="00B74108"/>
    <w:rsid w:val="00BA05C8"/>
    <w:rsid w:val="00BF710E"/>
    <w:rsid w:val="00C002C0"/>
    <w:rsid w:val="00C16795"/>
    <w:rsid w:val="00C174BB"/>
    <w:rsid w:val="00C23AC1"/>
    <w:rsid w:val="00C3752E"/>
    <w:rsid w:val="00C82487"/>
    <w:rsid w:val="00CE2836"/>
    <w:rsid w:val="00D23F90"/>
    <w:rsid w:val="00DA1C38"/>
    <w:rsid w:val="00DC3EB8"/>
    <w:rsid w:val="00DD3281"/>
    <w:rsid w:val="00DE3A9D"/>
    <w:rsid w:val="00DE762E"/>
    <w:rsid w:val="00E01DF3"/>
    <w:rsid w:val="00E02E9C"/>
    <w:rsid w:val="00E15B76"/>
    <w:rsid w:val="00E26016"/>
    <w:rsid w:val="00E710D4"/>
    <w:rsid w:val="00E81198"/>
    <w:rsid w:val="00EA46ED"/>
    <w:rsid w:val="00EB0B12"/>
    <w:rsid w:val="00EB5907"/>
    <w:rsid w:val="00EE4F03"/>
    <w:rsid w:val="00F0605D"/>
    <w:rsid w:val="00F1590F"/>
    <w:rsid w:val="00F673C3"/>
    <w:rsid w:val="00FA7EA4"/>
    <w:rsid w:val="00FC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375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1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10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FA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A7EA4"/>
  </w:style>
  <w:style w:type="paragraph" w:styleId="Zpat">
    <w:name w:val="footer"/>
    <w:basedOn w:val="Normln"/>
    <w:link w:val="ZpatChar"/>
    <w:uiPriority w:val="99"/>
    <w:semiHidden/>
    <w:unhideWhenUsed/>
    <w:rsid w:val="00FA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A7E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375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1012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Pripominkovani</dc:creator>
  <cp:lastModifiedBy>Pecanek 2</cp:lastModifiedBy>
  <cp:revision>3</cp:revision>
  <dcterms:created xsi:type="dcterms:W3CDTF">2015-05-15T10:06:00Z</dcterms:created>
  <dcterms:modified xsi:type="dcterms:W3CDTF">2015-05-15T10:08:00Z</dcterms:modified>
</cp:coreProperties>
</file>