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01" w:rsidRDefault="00EE2101" w:rsidP="00E30420">
      <w:pPr>
        <w:jc w:val="center"/>
        <w:rPr>
          <w:b/>
          <w:sz w:val="28"/>
          <w:szCs w:val="28"/>
        </w:rPr>
      </w:pPr>
    </w:p>
    <w:p w:rsidR="007F7FA2" w:rsidRDefault="005634BC" w:rsidP="00E304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Stanovisko </w:t>
      </w:r>
      <w:r w:rsidR="00E30420">
        <w:rPr>
          <w:b/>
          <w:sz w:val="28"/>
          <w:szCs w:val="28"/>
        </w:rPr>
        <w:t xml:space="preserve">Českého plynárenského svazu </w:t>
      </w:r>
      <w:r>
        <w:rPr>
          <w:b/>
          <w:sz w:val="28"/>
          <w:szCs w:val="28"/>
        </w:rPr>
        <w:t>k návrhu nařízení vlády o státní energetické koncepci a územních energetických koncepcích</w:t>
      </w:r>
    </w:p>
    <w:p w:rsidR="002A6200" w:rsidRDefault="002A6200" w:rsidP="00E30420">
      <w:pPr>
        <w:jc w:val="both"/>
        <w:rPr>
          <w:b/>
          <w:sz w:val="28"/>
          <w:szCs w:val="28"/>
        </w:rPr>
      </w:pPr>
    </w:p>
    <w:p w:rsidR="005634BC" w:rsidRDefault="005634BC" w:rsidP="00E30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Důvodem návrhu nového nařízení vlády je standardizace formy zpracování státní energetické koncepce (SEK) včetně vymezení cílů státu v oblasti strategického plánování v energetice. Dalším důvodem je nutnost specifikovat obsah územní energetické koncepce (ÚEK) jejímž účelem je vymezení oblastí nakládání s energií na úrovni krajů a hlavního města Prahy. </w:t>
      </w:r>
      <w:r w:rsidR="00232DA1">
        <w:rPr>
          <w:sz w:val="28"/>
          <w:szCs w:val="28"/>
        </w:rPr>
        <w:t>Cíle</w:t>
      </w:r>
      <w:r w:rsidR="00EE2101">
        <w:rPr>
          <w:sz w:val="28"/>
          <w:szCs w:val="28"/>
        </w:rPr>
        <w:t>m</w:t>
      </w:r>
      <w:r w:rsidR="00232DA1">
        <w:rPr>
          <w:sz w:val="28"/>
          <w:szCs w:val="28"/>
        </w:rPr>
        <w:t xml:space="preserve"> navrhovaného nařízení vlády je naplnit zmocnění</w:t>
      </w:r>
      <w:r w:rsidR="00EE2101">
        <w:rPr>
          <w:sz w:val="28"/>
          <w:szCs w:val="28"/>
        </w:rPr>
        <w:t>,</w:t>
      </w:r>
      <w:r w:rsidR="00232DA1">
        <w:rPr>
          <w:sz w:val="28"/>
          <w:szCs w:val="28"/>
        </w:rPr>
        <w:t xml:space="preserve"> vyplývající z novely zákona č. 406/2000 Sb. (§</w:t>
      </w:r>
      <w:r w:rsidR="00E30420">
        <w:rPr>
          <w:sz w:val="28"/>
          <w:szCs w:val="28"/>
        </w:rPr>
        <w:t> </w:t>
      </w:r>
      <w:r w:rsidR="00232DA1">
        <w:rPr>
          <w:sz w:val="28"/>
          <w:szCs w:val="28"/>
        </w:rPr>
        <w:t>3 a §</w:t>
      </w:r>
      <w:r w:rsidR="00E30420">
        <w:rPr>
          <w:sz w:val="28"/>
          <w:szCs w:val="28"/>
        </w:rPr>
        <w:t> </w:t>
      </w:r>
      <w:r w:rsidR="00232DA1">
        <w:rPr>
          <w:sz w:val="28"/>
          <w:szCs w:val="28"/>
        </w:rPr>
        <w:t xml:space="preserve">4), </w:t>
      </w:r>
      <w:r w:rsidR="00EE2101">
        <w:rPr>
          <w:sz w:val="28"/>
          <w:szCs w:val="28"/>
        </w:rPr>
        <w:t xml:space="preserve">přijaté </w:t>
      </w:r>
      <w:r w:rsidR="00232DA1">
        <w:rPr>
          <w:sz w:val="28"/>
          <w:szCs w:val="28"/>
        </w:rPr>
        <w:t>v roce 2015.</w:t>
      </w:r>
    </w:p>
    <w:p w:rsidR="00375205" w:rsidRDefault="00D01C8A" w:rsidP="00E30420">
      <w:p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375205">
        <w:rPr>
          <w:sz w:val="28"/>
          <w:szCs w:val="28"/>
        </w:rPr>
        <w:t>ávrh je velmi detailní a připomíná spíše podklady pro statistická šetření než pro koncepční řešení rozvoje energetického sektoru</w:t>
      </w:r>
      <w:r w:rsidR="004732D1">
        <w:rPr>
          <w:sz w:val="28"/>
          <w:szCs w:val="28"/>
        </w:rPr>
        <w:t>. Úroveň statistických dat je pro zhodnocení výchozí situace velmi důležitá nemá však takřka žádný vliv na konstrukci prognóz nebo jejich variant. Záro</w:t>
      </w:r>
      <w:r w:rsidR="00B46BEC">
        <w:rPr>
          <w:sz w:val="28"/>
          <w:szCs w:val="28"/>
        </w:rPr>
        <w:t>veň zde velmi absentují údaje o </w:t>
      </w:r>
      <w:r w:rsidR="004732D1">
        <w:rPr>
          <w:sz w:val="28"/>
          <w:szCs w:val="28"/>
        </w:rPr>
        <w:t>možných změnách ve struktuře ekonomiky ČR (mimo vlastní energetiku) a</w:t>
      </w:r>
      <w:r w:rsidR="00E30420">
        <w:rPr>
          <w:sz w:val="28"/>
          <w:szCs w:val="28"/>
        </w:rPr>
        <w:t> </w:t>
      </w:r>
      <w:r w:rsidR="004732D1">
        <w:rPr>
          <w:sz w:val="28"/>
          <w:szCs w:val="28"/>
        </w:rPr>
        <w:t>jejich dopadu na energetické systémy.</w:t>
      </w:r>
    </w:p>
    <w:p w:rsidR="00B46BEC" w:rsidRDefault="00B46BEC" w:rsidP="00B46BEC">
      <w:pPr>
        <w:spacing w:after="0"/>
        <w:rPr>
          <w:sz w:val="28"/>
          <w:szCs w:val="28"/>
        </w:rPr>
      </w:pPr>
      <w:r>
        <w:rPr>
          <w:sz w:val="28"/>
          <w:szCs w:val="28"/>
        </w:rPr>
        <w:t>Návrh by měl vycházet především z:</w:t>
      </w:r>
    </w:p>
    <w:p w:rsidR="00B46BEC" w:rsidRDefault="00B46BEC" w:rsidP="00B46BEC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přijatých zásad dalšího vývoje ekonomiky České republik</w:t>
      </w:r>
      <w:r>
        <w:rPr>
          <w:sz w:val="28"/>
          <w:szCs w:val="28"/>
        </w:rPr>
        <w:t>y</w:t>
      </w:r>
      <w:r>
        <w:rPr>
          <w:sz w:val="28"/>
          <w:szCs w:val="28"/>
        </w:rPr>
        <w:t xml:space="preserve"> na základě politického </w:t>
      </w:r>
      <w:proofErr w:type="spellStart"/>
      <w:r>
        <w:rPr>
          <w:sz w:val="28"/>
          <w:szCs w:val="28"/>
        </w:rPr>
        <w:t>koncensu</w:t>
      </w:r>
      <w:proofErr w:type="spellEnd"/>
      <w:r>
        <w:rPr>
          <w:sz w:val="28"/>
          <w:szCs w:val="28"/>
        </w:rPr>
        <w:t xml:space="preserve"> (to nemůže být reprezentováno pouze hrubou přidanou hodnotou nebo hrubým domácím produktem),</w:t>
      </w:r>
    </w:p>
    <w:p w:rsidR="00B46BEC" w:rsidRDefault="00B46BEC" w:rsidP="00B46BEC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toho, že v rámci počáteční rozvahy nebude automaticky potlačovat energetické zdroje z dovozu a jejich podíl na energetickém mixu </w:t>
      </w:r>
      <w:r>
        <w:rPr>
          <w:sz w:val="28"/>
          <w:szCs w:val="28"/>
        </w:rPr>
        <w:t xml:space="preserve">se bude </w:t>
      </w:r>
      <w:r>
        <w:rPr>
          <w:sz w:val="28"/>
          <w:szCs w:val="28"/>
        </w:rPr>
        <w:t xml:space="preserve">posuzovat </w:t>
      </w:r>
      <w:r>
        <w:rPr>
          <w:sz w:val="28"/>
          <w:szCs w:val="28"/>
        </w:rPr>
        <w:t>stejně jako domácí zdroje</w:t>
      </w:r>
      <w:r>
        <w:rPr>
          <w:sz w:val="28"/>
          <w:szCs w:val="28"/>
          <w:lang w:val="en-US"/>
        </w:rPr>
        <w:t>;</w:t>
      </w:r>
      <w:r>
        <w:rPr>
          <w:sz w:val="28"/>
          <w:szCs w:val="28"/>
        </w:rPr>
        <w:t xml:space="preserve"> hlavním kriteriem bude zejména jejich přínos ke zlepšování životního prostředí (v dlouhodobém horizontu se bude podíl dovozových energetických zdrojů zvyšovat v ČR i v celé EU</w:t>
      </w:r>
      <w:r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B46BEC" w:rsidRDefault="00B46BEC" w:rsidP="00B46BEC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opuštění modelu velké energetiky a velkých energetických zdrojů, který je při dalším rozvoji využívání </w:t>
      </w:r>
      <w:proofErr w:type="spellStart"/>
      <w:r>
        <w:rPr>
          <w:sz w:val="28"/>
          <w:szCs w:val="28"/>
        </w:rPr>
        <w:t>OZE</w:t>
      </w:r>
      <w:proofErr w:type="spellEnd"/>
      <w:r>
        <w:rPr>
          <w:sz w:val="28"/>
          <w:szCs w:val="28"/>
        </w:rPr>
        <w:t xml:space="preserve"> s decentralizovanými zdroji</w:t>
      </w:r>
      <w:r>
        <w:rPr>
          <w:sz w:val="28"/>
          <w:szCs w:val="28"/>
        </w:rPr>
        <w:t xml:space="preserve"> a chytrých sítí těžko uskutečnitelný,</w:t>
      </w:r>
    </w:p>
    <w:p w:rsidR="00B46BEC" w:rsidRDefault="00B46BEC" w:rsidP="00B46BEC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respektování dosavadního vývoje energetiky ve střední Evropě a možností spolupráce české energetiky se státy v tomto regionu,</w:t>
      </w:r>
    </w:p>
    <w:p w:rsidR="00B46BEC" w:rsidRDefault="00B46BEC" w:rsidP="00B46BEC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strategických dokumentů EU pro oblast energetiky zejména pro časově vzdálené horizonty (2050).</w:t>
      </w:r>
    </w:p>
    <w:p w:rsidR="004210E8" w:rsidRDefault="00113AA8" w:rsidP="00E30420">
      <w:pPr>
        <w:jc w:val="both"/>
        <w:rPr>
          <w:sz w:val="28"/>
          <w:szCs w:val="28"/>
        </w:rPr>
      </w:pPr>
      <w:r>
        <w:rPr>
          <w:sz w:val="28"/>
          <w:szCs w:val="28"/>
        </w:rPr>
        <w:t>Podle předloženého návrhu by v</w:t>
      </w:r>
      <w:r w:rsidR="004210E8">
        <w:rPr>
          <w:sz w:val="28"/>
          <w:szCs w:val="28"/>
        </w:rPr>
        <w:t>ýstupy řešení územně energetických koncepcí měli obsahovat i kapitolu o předpokládaných energetických úsporách</w:t>
      </w:r>
      <w:r>
        <w:rPr>
          <w:sz w:val="28"/>
          <w:szCs w:val="28"/>
        </w:rPr>
        <w:t>, ovšem</w:t>
      </w:r>
      <w:bookmarkStart w:id="0" w:name="_GoBack"/>
      <w:bookmarkEnd w:id="0"/>
      <w:r w:rsidR="004210E8">
        <w:rPr>
          <w:sz w:val="28"/>
          <w:szCs w:val="28"/>
        </w:rPr>
        <w:t xml:space="preserve"> zcela chybí zhodnocení dopadů těchto úspor </w:t>
      </w:r>
      <w:r>
        <w:rPr>
          <w:sz w:val="28"/>
          <w:szCs w:val="28"/>
        </w:rPr>
        <w:t>na spotřebu jednotlivých druhů energií a paliv.</w:t>
      </w:r>
    </w:p>
    <w:p w:rsidR="000762D7" w:rsidRDefault="000762D7" w:rsidP="00E30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celém návrhu je také věnována menší pozornost rozvoji plynárenských systémů v porovnání s elektřinou, </w:t>
      </w:r>
      <w:r w:rsidR="00E30420">
        <w:rPr>
          <w:sz w:val="28"/>
          <w:szCs w:val="28"/>
        </w:rPr>
        <w:t xml:space="preserve">systémy </w:t>
      </w:r>
      <w:r>
        <w:rPr>
          <w:sz w:val="28"/>
          <w:szCs w:val="28"/>
        </w:rPr>
        <w:t>centralizovan</w:t>
      </w:r>
      <w:r w:rsidR="00E30420">
        <w:rPr>
          <w:sz w:val="28"/>
          <w:szCs w:val="28"/>
        </w:rPr>
        <w:t xml:space="preserve">ého zásobování </w:t>
      </w:r>
      <w:r>
        <w:rPr>
          <w:sz w:val="28"/>
          <w:szCs w:val="28"/>
        </w:rPr>
        <w:t xml:space="preserve">teplem a </w:t>
      </w:r>
      <w:r w:rsidR="00E30420">
        <w:rPr>
          <w:sz w:val="28"/>
          <w:szCs w:val="28"/>
        </w:rPr>
        <w:t>obnovitelnými zdroji energie</w:t>
      </w:r>
      <w:r w:rsidR="002E02C2">
        <w:rPr>
          <w:sz w:val="28"/>
          <w:szCs w:val="28"/>
        </w:rPr>
        <w:t xml:space="preserve"> (tabulka č. 20 např. vůbec neobsahuje kotle na plynná paliva)</w:t>
      </w:r>
      <w:r w:rsidR="00E30420">
        <w:rPr>
          <w:sz w:val="28"/>
          <w:szCs w:val="28"/>
        </w:rPr>
        <w:t>.</w:t>
      </w:r>
      <w:r w:rsidR="00C801AE">
        <w:rPr>
          <w:sz w:val="28"/>
          <w:szCs w:val="28"/>
        </w:rPr>
        <w:t xml:space="preserve"> Tento přístup je v rozporu s připravovanými dokumenty Energetické unie, kde je rozvoj plynárenství více preferován.</w:t>
      </w:r>
    </w:p>
    <w:p w:rsidR="00D01C8A" w:rsidRDefault="00617697" w:rsidP="00E30420">
      <w:pPr>
        <w:jc w:val="both"/>
        <w:rPr>
          <w:sz w:val="28"/>
          <w:szCs w:val="28"/>
        </w:rPr>
      </w:pPr>
      <w:r>
        <w:rPr>
          <w:sz w:val="28"/>
          <w:szCs w:val="28"/>
        </w:rPr>
        <w:t>Obsah ná</w:t>
      </w:r>
      <w:r w:rsidR="00D01C8A">
        <w:rPr>
          <w:sz w:val="28"/>
          <w:szCs w:val="28"/>
        </w:rPr>
        <w:t>vrhu nařízení</w:t>
      </w:r>
      <w:r>
        <w:rPr>
          <w:sz w:val="28"/>
          <w:szCs w:val="28"/>
        </w:rPr>
        <w:t xml:space="preserve"> je příliš poplatný struktuře současně projednávané ASEK a nevytváří předpoklady pro možné zásadní změny v energetice, které Českou republiku čekají v souvislosti s německým programem </w:t>
      </w:r>
      <w:proofErr w:type="spellStart"/>
      <w:r>
        <w:rPr>
          <w:sz w:val="28"/>
          <w:szCs w:val="28"/>
        </w:rPr>
        <w:t>Energiewende</w:t>
      </w:r>
      <w:proofErr w:type="spellEnd"/>
      <w:r w:rsidR="002A6200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E30420">
        <w:rPr>
          <w:sz w:val="28"/>
          <w:szCs w:val="28"/>
        </w:rPr>
        <w:t> </w:t>
      </w:r>
      <w:r>
        <w:rPr>
          <w:sz w:val="28"/>
          <w:szCs w:val="28"/>
        </w:rPr>
        <w:t xml:space="preserve">postupem přípravy Evropské energetické unie. To pak bude mít i </w:t>
      </w:r>
      <w:r w:rsidR="002A6200">
        <w:rPr>
          <w:sz w:val="28"/>
          <w:szCs w:val="28"/>
        </w:rPr>
        <w:t>vliv na</w:t>
      </w:r>
      <w:r>
        <w:rPr>
          <w:sz w:val="28"/>
          <w:szCs w:val="28"/>
        </w:rPr>
        <w:t xml:space="preserve"> tvorbu územních energetických koncepcí</w:t>
      </w:r>
      <w:r w:rsidR="002A6200">
        <w:rPr>
          <w:sz w:val="28"/>
          <w:szCs w:val="28"/>
        </w:rPr>
        <w:t xml:space="preserve"> a tedy případný rozvoj decentralizované energetiky v jednotlivých regionech.</w:t>
      </w:r>
    </w:p>
    <w:p w:rsidR="002E02C2" w:rsidRDefault="002E02C2" w:rsidP="002E02C2">
      <w:pPr>
        <w:spacing w:after="0" w:line="240" w:lineRule="auto"/>
        <w:jc w:val="both"/>
        <w:rPr>
          <w:sz w:val="28"/>
          <w:szCs w:val="28"/>
        </w:rPr>
      </w:pPr>
    </w:p>
    <w:p w:rsidR="00B46BEC" w:rsidRDefault="00B46BEC" w:rsidP="002E02C2">
      <w:pPr>
        <w:spacing w:after="0" w:line="240" w:lineRule="auto"/>
        <w:jc w:val="both"/>
        <w:rPr>
          <w:sz w:val="28"/>
          <w:szCs w:val="28"/>
        </w:rPr>
      </w:pPr>
    </w:p>
    <w:p w:rsidR="00B46BEC" w:rsidRDefault="00B46BEC" w:rsidP="002E02C2">
      <w:pPr>
        <w:spacing w:after="0" w:line="240" w:lineRule="auto"/>
        <w:jc w:val="both"/>
        <w:rPr>
          <w:sz w:val="28"/>
          <w:szCs w:val="28"/>
        </w:rPr>
      </w:pPr>
    </w:p>
    <w:p w:rsidR="00B46BEC" w:rsidRDefault="00B46BEC" w:rsidP="002E02C2">
      <w:pPr>
        <w:spacing w:after="0" w:line="240" w:lineRule="auto"/>
        <w:jc w:val="both"/>
        <w:rPr>
          <w:sz w:val="28"/>
          <w:szCs w:val="28"/>
        </w:rPr>
      </w:pPr>
    </w:p>
    <w:p w:rsidR="00B46BEC" w:rsidRDefault="00B46BEC" w:rsidP="002E02C2">
      <w:pPr>
        <w:spacing w:after="0" w:line="240" w:lineRule="auto"/>
        <w:jc w:val="both"/>
        <w:rPr>
          <w:sz w:val="28"/>
          <w:szCs w:val="28"/>
        </w:rPr>
      </w:pPr>
    </w:p>
    <w:p w:rsidR="00B46BEC" w:rsidRDefault="00B46BEC" w:rsidP="002E02C2">
      <w:pPr>
        <w:spacing w:after="0" w:line="240" w:lineRule="auto"/>
        <w:jc w:val="both"/>
        <w:rPr>
          <w:sz w:val="28"/>
          <w:szCs w:val="28"/>
        </w:rPr>
      </w:pPr>
    </w:p>
    <w:p w:rsidR="00B46BEC" w:rsidRDefault="00B46BEC" w:rsidP="002E02C2">
      <w:pPr>
        <w:spacing w:after="0" w:line="240" w:lineRule="auto"/>
        <w:jc w:val="both"/>
        <w:rPr>
          <w:sz w:val="28"/>
          <w:szCs w:val="28"/>
        </w:rPr>
      </w:pPr>
    </w:p>
    <w:p w:rsidR="00B46BEC" w:rsidRDefault="00B46BEC" w:rsidP="002E02C2">
      <w:pPr>
        <w:spacing w:after="0" w:line="240" w:lineRule="auto"/>
        <w:jc w:val="both"/>
        <w:rPr>
          <w:sz w:val="28"/>
          <w:szCs w:val="28"/>
        </w:rPr>
      </w:pPr>
    </w:p>
    <w:p w:rsidR="00B46BEC" w:rsidRDefault="00B46BEC" w:rsidP="002E02C2">
      <w:pPr>
        <w:spacing w:after="0" w:line="240" w:lineRule="auto"/>
        <w:jc w:val="both"/>
        <w:rPr>
          <w:sz w:val="28"/>
          <w:szCs w:val="28"/>
        </w:rPr>
      </w:pPr>
    </w:p>
    <w:p w:rsidR="00B46BEC" w:rsidRDefault="00B46BEC" w:rsidP="002E02C2">
      <w:pPr>
        <w:spacing w:after="0" w:line="240" w:lineRule="auto"/>
        <w:jc w:val="both"/>
        <w:rPr>
          <w:sz w:val="28"/>
          <w:szCs w:val="28"/>
        </w:rPr>
      </w:pPr>
    </w:p>
    <w:p w:rsidR="00B46BEC" w:rsidRDefault="00B46BEC" w:rsidP="002E02C2">
      <w:pPr>
        <w:spacing w:after="0" w:line="240" w:lineRule="auto"/>
        <w:jc w:val="both"/>
        <w:rPr>
          <w:sz w:val="28"/>
          <w:szCs w:val="28"/>
        </w:rPr>
      </w:pPr>
    </w:p>
    <w:p w:rsidR="00B46BEC" w:rsidRDefault="00B46BEC" w:rsidP="002E02C2">
      <w:pPr>
        <w:spacing w:after="0" w:line="240" w:lineRule="auto"/>
        <w:jc w:val="both"/>
        <w:rPr>
          <w:sz w:val="28"/>
          <w:szCs w:val="28"/>
        </w:rPr>
      </w:pPr>
    </w:p>
    <w:p w:rsidR="002E02C2" w:rsidRPr="00853FEB" w:rsidRDefault="002E02C2" w:rsidP="002E02C2">
      <w:pPr>
        <w:spacing w:after="0" w:line="240" w:lineRule="auto"/>
        <w:jc w:val="both"/>
        <w:rPr>
          <w:sz w:val="28"/>
          <w:szCs w:val="28"/>
        </w:rPr>
      </w:pPr>
      <w:r w:rsidRPr="00853FEB">
        <w:rPr>
          <w:sz w:val="28"/>
          <w:szCs w:val="28"/>
        </w:rPr>
        <w:t xml:space="preserve">Praha </w:t>
      </w:r>
      <w:r w:rsidR="00EE2101">
        <w:rPr>
          <w:sz w:val="28"/>
          <w:szCs w:val="28"/>
        </w:rPr>
        <w:t>7</w:t>
      </w:r>
      <w:r w:rsidRPr="00853FEB">
        <w:rPr>
          <w:sz w:val="28"/>
          <w:szCs w:val="28"/>
        </w:rPr>
        <w:t xml:space="preserve">. </w:t>
      </w:r>
      <w:r>
        <w:rPr>
          <w:sz w:val="28"/>
          <w:szCs w:val="28"/>
        </w:rPr>
        <w:t>května</w:t>
      </w:r>
      <w:r w:rsidRPr="00853FEB">
        <w:rPr>
          <w:sz w:val="28"/>
          <w:szCs w:val="28"/>
        </w:rPr>
        <w:t xml:space="preserve"> 2015</w:t>
      </w:r>
    </w:p>
    <w:p w:rsidR="002E02C2" w:rsidRPr="00853FEB" w:rsidRDefault="002E02C2" w:rsidP="002E02C2">
      <w:pPr>
        <w:spacing w:after="0" w:line="240" w:lineRule="auto"/>
        <w:jc w:val="both"/>
        <w:rPr>
          <w:sz w:val="28"/>
          <w:szCs w:val="28"/>
        </w:rPr>
      </w:pPr>
    </w:p>
    <w:p w:rsidR="002E02C2" w:rsidRPr="00853FEB" w:rsidRDefault="002E02C2" w:rsidP="002E02C2">
      <w:pPr>
        <w:spacing w:after="0" w:line="240" w:lineRule="auto"/>
        <w:jc w:val="both"/>
        <w:rPr>
          <w:sz w:val="28"/>
          <w:szCs w:val="28"/>
        </w:rPr>
      </w:pPr>
      <w:r w:rsidRPr="00853FEB">
        <w:rPr>
          <w:sz w:val="28"/>
          <w:szCs w:val="28"/>
        </w:rPr>
        <w:t>Za ČPS</w:t>
      </w:r>
    </w:p>
    <w:p w:rsidR="002E02C2" w:rsidRPr="00853FEB" w:rsidRDefault="002E02C2" w:rsidP="002E02C2">
      <w:pPr>
        <w:spacing w:after="0" w:line="240" w:lineRule="auto"/>
        <w:jc w:val="both"/>
        <w:rPr>
          <w:sz w:val="28"/>
          <w:szCs w:val="28"/>
        </w:rPr>
      </w:pPr>
      <w:r w:rsidRPr="00853FEB">
        <w:rPr>
          <w:sz w:val="28"/>
          <w:szCs w:val="28"/>
        </w:rPr>
        <w:t>Ing. Jan Ruml</w:t>
      </w:r>
    </w:p>
    <w:p w:rsidR="00D01C8A" w:rsidRPr="005634BC" w:rsidRDefault="002E02C2" w:rsidP="002E02C2">
      <w:pPr>
        <w:spacing w:after="0" w:line="240" w:lineRule="auto"/>
        <w:jc w:val="both"/>
        <w:rPr>
          <w:sz w:val="28"/>
          <w:szCs w:val="28"/>
        </w:rPr>
      </w:pPr>
      <w:r w:rsidRPr="00853FEB">
        <w:rPr>
          <w:sz w:val="28"/>
          <w:szCs w:val="28"/>
        </w:rPr>
        <w:t>výkonný ředitel</w:t>
      </w:r>
    </w:p>
    <w:sectPr w:rsidR="00D01C8A" w:rsidRPr="005634BC" w:rsidSect="00EE2101">
      <w:headerReference w:type="default" r:id="rId7"/>
      <w:headerReference w:type="first" r:id="rId8"/>
      <w:pgSz w:w="11906" w:h="16838" w:code="9"/>
      <w:pgMar w:top="1522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692" w:rsidRDefault="00920692" w:rsidP="00EE2101">
      <w:pPr>
        <w:spacing w:after="0" w:line="240" w:lineRule="auto"/>
      </w:pPr>
      <w:r>
        <w:separator/>
      </w:r>
    </w:p>
  </w:endnote>
  <w:endnote w:type="continuationSeparator" w:id="0">
    <w:p w:rsidR="00920692" w:rsidRDefault="00920692" w:rsidP="00EE2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692" w:rsidRDefault="00920692" w:rsidP="00EE2101">
      <w:pPr>
        <w:spacing w:after="0" w:line="240" w:lineRule="auto"/>
      </w:pPr>
      <w:r>
        <w:separator/>
      </w:r>
    </w:p>
  </w:footnote>
  <w:footnote w:type="continuationSeparator" w:id="0">
    <w:p w:rsidR="00920692" w:rsidRDefault="00920692" w:rsidP="00EE2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101" w:rsidRDefault="00EE2101" w:rsidP="00EE2101">
    <w:pPr>
      <w:pStyle w:val="Zhlav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101" w:rsidRDefault="00EE2101" w:rsidP="00EE2101">
    <w:pPr>
      <w:pStyle w:val="Zhlav"/>
      <w:jc w:val="center"/>
    </w:pPr>
    <w:r w:rsidRPr="00EE2101">
      <w:drawing>
        <wp:inline distT="0" distB="0" distL="0" distR="0">
          <wp:extent cx="2238375" cy="628108"/>
          <wp:effectExtent l="19050" t="0" r="9525" b="0"/>
          <wp:docPr id="3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606" cy="631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1EB5"/>
    <w:multiLevelType w:val="hybridMultilevel"/>
    <w:tmpl w:val="9A505D72"/>
    <w:lvl w:ilvl="0" w:tplc="6234B8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jgl František">
    <w15:presenceInfo w15:providerId="AD" w15:userId="S-1-5-21-2721319797-2137462533-598083918-947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634BC"/>
    <w:rsid w:val="000762D7"/>
    <w:rsid w:val="00113AA8"/>
    <w:rsid w:val="001C210B"/>
    <w:rsid w:val="00232DA1"/>
    <w:rsid w:val="002A6200"/>
    <w:rsid w:val="002E02C2"/>
    <w:rsid w:val="00375205"/>
    <w:rsid w:val="004210E8"/>
    <w:rsid w:val="004732D1"/>
    <w:rsid w:val="005634BC"/>
    <w:rsid w:val="00617697"/>
    <w:rsid w:val="007F7FA2"/>
    <w:rsid w:val="00920692"/>
    <w:rsid w:val="00A342E3"/>
    <w:rsid w:val="00A50ED2"/>
    <w:rsid w:val="00B46BEC"/>
    <w:rsid w:val="00C801AE"/>
    <w:rsid w:val="00CC537D"/>
    <w:rsid w:val="00D01C8A"/>
    <w:rsid w:val="00E30420"/>
    <w:rsid w:val="00EE2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3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E2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E2101"/>
  </w:style>
  <w:style w:type="paragraph" w:styleId="Zpat">
    <w:name w:val="footer"/>
    <w:basedOn w:val="Normln"/>
    <w:link w:val="ZpatChar"/>
    <w:uiPriority w:val="99"/>
    <w:semiHidden/>
    <w:unhideWhenUsed/>
    <w:rsid w:val="00EE2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E2101"/>
  </w:style>
  <w:style w:type="paragraph" w:styleId="Textbubliny">
    <w:name w:val="Balloon Text"/>
    <w:basedOn w:val="Normln"/>
    <w:link w:val="TextbublinyChar"/>
    <w:uiPriority w:val="99"/>
    <w:semiHidden/>
    <w:unhideWhenUsed/>
    <w:rsid w:val="00EE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10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6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Redakce ČPS</dc:creator>
  <cp:lastModifiedBy>Pecanek 2</cp:lastModifiedBy>
  <cp:revision>2</cp:revision>
  <dcterms:created xsi:type="dcterms:W3CDTF">2015-05-07T14:28:00Z</dcterms:created>
  <dcterms:modified xsi:type="dcterms:W3CDTF">2015-05-07T14:28:00Z</dcterms:modified>
</cp:coreProperties>
</file>