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1" w:rsidRPr="00B8250F" w:rsidRDefault="00B53887" w:rsidP="00B8250F">
      <w:pPr>
        <w:spacing w:before="48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250F">
        <w:rPr>
          <w:rFonts w:ascii="Arial" w:hAnsi="Arial" w:cs="Arial"/>
          <w:b/>
          <w:sz w:val="28"/>
          <w:szCs w:val="28"/>
        </w:rPr>
        <w:t xml:space="preserve">Připomínky </w:t>
      </w:r>
      <w:r w:rsidR="00B8250F" w:rsidRPr="00B8250F">
        <w:rPr>
          <w:rFonts w:ascii="Arial" w:hAnsi="Arial" w:cs="Arial"/>
          <w:b/>
          <w:sz w:val="28"/>
          <w:szCs w:val="28"/>
        </w:rPr>
        <w:t xml:space="preserve">Českého plynárenského svazu </w:t>
      </w:r>
      <w:r w:rsidRPr="00B8250F">
        <w:rPr>
          <w:rFonts w:ascii="Arial" w:hAnsi="Arial" w:cs="Arial"/>
          <w:b/>
          <w:sz w:val="28"/>
          <w:szCs w:val="28"/>
        </w:rPr>
        <w:t>k výňatku návrhu zákona o</w:t>
      </w:r>
      <w:r w:rsidR="00B8250F">
        <w:rPr>
          <w:rFonts w:ascii="Arial" w:hAnsi="Arial" w:cs="Arial"/>
          <w:b/>
          <w:sz w:val="28"/>
          <w:szCs w:val="28"/>
        </w:rPr>
        <w:t> </w:t>
      </w:r>
      <w:r w:rsidRPr="00B8250F">
        <w:rPr>
          <w:rFonts w:ascii="Arial" w:hAnsi="Arial" w:cs="Arial"/>
          <w:b/>
          <w:sz w:val="28"/>
          <w:szCs w:val="28"/>
        </w:rPr>
        <w:t>zadávacích řízeních</w:t>
      </w:r>
    </w:p>
    <w:p w:rsidR="00B53887" w:rsidRPr="00530AB3" w:rsidRDefault="00B53887" w:rsidP="00B8250F">
      <w:pPr>
        <w:spacing w:before="480" w:after="120" w:line="240" w:lineRule="auto"/>
        <w:rPr>
          <w:rFonts w:ascii="Arial" w:hAnsi="Arial" w:cs="Arial"/>
          <w:b/>
        </w:rPr>
      </w:pPr>
      <w:bookmarkStart w:id="0" w:name="_GoBack"/>
      <w:bookmarkEnd w:id="0"/>
      <w:r w:rsidRPr="00530AB3">
        <w:rPr>
          <w:rFonts w:ascii="Arial" w:hAnsi="Arial" w:cs="Arial"/>
          <w:b/>
        </w:rPr>
        <w:t>Obecn</w:t>
      </w:r>
      <w:r w:rsidR="00B8250F" w:rsidRPr="00530AB3">
        <w:rPr>
          <w:rFonts w:ascii="Arial" w:hAnsi="Arial" w:cs="Arial"/>
          <w:b/>
        </w:rPr>
        <w:t>á připomínka</w:t>
      </w:r>
      <w:r w:rsidRPr="00530AB3">
        <w:rPr>
          <w:rFonts w:ascii="Arial" w:hAnsi="Arial" w:cs="Arial"/>
          <w:b/>
        </w:rPr>
        <w:t>:</w:t>
      </w:r>
    </w:p>
    <w:p w:rsidR="00B53887" w:rsidRPr="00934069" w:rsidRDefault="000C13CE" w:rsidP="00B8250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Uvítali bychom možnost posoudit komplexní návrh zákona </w:t>
      </w:r>
      <w:r w:rsidRPr="00934069">
        <w:rPr>
          <w:rFonts w:ascii="Arial" w:hAnsi="Arial" w:cs="Arial"/>
        </w:rPr>
        <w:t>o zadávacích řízeních</w:t>
      </w:r>
      <w:r w:rsidR="00B53887" w:rsidRPr="00934069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 xml:space="preserve">předložený výňatek </w:t>
      </w:r>
      <w:r w:rsidR="00530AB3">
        <w:rPr>
          <w:rFonts w:ascii="Arial" w:hAnsi="Arial" w:cs="Arial"/>
        </w:rPr>
        <w:t xml:space="preserve">zákona zdaleka nepředstavuje </w:t>
      </w:r>
      <w:r w:rsidR="002546DF" w:rsidRPr="00934069">
        <w:rPr>
          <w:rFonts w:ascii="Arial" w:hAnsi="Arial" w:cs="Arial"/>
        </w:rPr>
        <w:t xml:space="preserve">všechna relevantní ustanovení, vůči kterým jsme v minulosti </w:t>
      </w:r>
      <w:r>
        <w:rPr>
          <w:rFonts w:ascii="Arial" w:hAnsi="Arial" w:cs="Arial"/>
        </w:rPr>
        <w:t>(</w:t>
      </w:r>
      <w:r w:rsidR="002546DF" w:rsidRPr="00934069">
        <w:rPr>
          <w:rFonts w:ascii="Arial" w:hAnsi="Arial" w:cs="Arial"/>
        </w:rPr>
        <w:t>v případě platného znění zákona o veřejných zakázkách</w:t>
      </w:r>
      <w:r>
        <w:rPr>
          <w:rFonts w:ascii="Arial" w:hAnsi="Arial" w:cs="Arial"/>
        </w:rPr>
        <w:t>)</w:t>
      </w:r>
      <w:r w:rsidR="002546DF" w:rsidRPr="00934069">
        <w:rPr>
          <w:rFonts w:ascii="Arial" w:hAnsi="Arial" w:cs="Arial"/>
        </w:rPr>
        <w:t xml:space="preserve"> měli </w:t>
      </w:r>
      <w:r>
        <w:rPr>
          <w:rFonts w:ascii="Arial" w:hAnsi="Arial" w:cs="Arial"/>
        </w:rPr>
        <w:t>připomínky</w:t>
      </w:r>
      <w:r w:rsidR="00530AB3">
        <w:rPr>
          <w:rFonts w:ascii="Arial" w:hAnsi="Arial" w:cs="Arial"/>
        </w:rPr>
        <w:t xml:space="preserve">, vztahující se zejména k </w:t>
      </w:r>
      <w:r w:rsidR="002546DF" w:rsidRPr="00934069">
        <w:rPr>
          <w:rFonts w:ascii="Arial" w:hAnsi="Arial" w:cs="Arial"/>
        </w:rPr>
        <w:t>jejich praktick</w:t>
      </w:r>
      <w:r w:rsidR="00530AB3">
        <w:rPr>
          <w:rFonts w:ascii="Arial" w:hAnsi="Arial" w:cs="Arial"/>
        </w:rPr>
        <w:t>é</w:t>
      </w:r>
      <w:r w:rsidR="002546DF" w:rsidRPr="00934069">
        <w:rPr>
          <w:rFonts w:ascii="Arial" w:hAnsi="Arial" w:cs="Arial"/>
        </w:rPr>
        <w:t xml:space="preserve"> aplikac</w:t>
      </w:r>
      <w:r w:rsidR="00530AB3">
        <w:rPr>
          <w:rFonts w:ascii="Arial" w:hAnsi="Arial" w:cs="Arial"/>
        </w:rPr>
        <w:t>i</w:t>
      </w:r>
      <w:r w:rsidR="002546DF" w:rsidRPr="00934069">
        <w:rPr>
          <w:rFonts w:ascii="Arial" w:hAnsi="Arial" w:cs="Arial"/>
        </w:rPr>
        <w:t>. Jako sektoroví zadavatelé v oblasti plynárenství bychom uvítali zejména možnost vyjádřit se k návrhu znění těch ustanovení, kter</w:t>
      </w:r>
      <w:r w:rsidR="00725F25">
        <w:rPr>
          <w:rFonts w:ascii="Arial" w:hAnsi="Arial" w:cs="Arial"/>
        </w:rPr>
        <w:t>á</w:t>
      </w:r>
      <w:r w:rsidR="002546DF" w:rsidRPr="00934069">
        <w:rPr>
          <w:rFonts w:ascii="Arial" w:hAnsi="Arial" w:cs="Arial"/>
        </w:rPr>
        <w:t xml:space="preserve"> mají dopad na činnost sektorových zadavatelů, jako např. výjimky z působnosti zákona pro sektorové zadavatel</w:t>
      </w:r>
      <w:r w:rsidR="00530AB3">
        <w:rPr>
          <w:rFonts w:ascii="Arial" w:hAnsi="Arial" w:cs="Arial"/>
        </w:rPr>
        <w:t>e</w:t>
      </w:r>
      <w:r w:rsidR="002546DF" w:rsidRPr="00934069">
        <w:rPr>
          <w:rFonts w:ascii="Arial" w:hAnsi="Arial" w:cs="Arial"/>
        </w:rPr>
        <w:t xml:space="preserve"> či k podmínkám použití jednotlivých druhů zadávacích řízení.</w:t>
      </w:r>
    </w:p>
    <w:p w:rsidR="002546DF" w:rsidRPr="00934069" w:rsidRDefault="002546DF" w:rsidP="00B8250F">
      <w:pPr>
        <w:spacing w:before="120" w:after="120" w:line="240" w:lineRule="auto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Dále se proto omezujeme na konkrétní připomínky pouze k těmto 5 paragrafům, ke kterým jsme měli možnost vyjádřit své připomínky v relativně krátkém časovém prostoru.</w:t>
      </w:r>
    </w:p>
    <w:p w:rsidR="000656AD" w:rsidRPr="00530AB3" w:rsidRDefault="0058107F" w:rsidP="00530AB3">
      <w:pPr>
        <w:spacing w:before="480" w:after="120" w:line="240" w:lineRule="auto"/>
        <w:rPr>
          <w:rFonts w:ascii="Arial" w:hAnsi="Arial" w:cs="Arial"/>
          <w:b/>
        </w:rPr>
      </w:pPr>
      <w:r w:rsidRPr="00530AB3">
        <w:rPr>
          <w:rFonts w:ascii="Arial" w:hAnsi="Arial" w:cs="Arial"/>
          <w:b/>
        </w:rPr>
        <w:t>Konkrétní připomínky</w:t>
      </w:r>
      <w:r w:rsidR="00530AB3" w:rsidRPr="00530AB3">
        <w:rPr>
          <w:rFonts w:ascii="Arial" w:hAnsi="Arial" w:cs="Arial"/>
          <w:b/>
        </w:rPr>
        <w:t>:</w:t>
      </w:r>
    </w:p>
    <w:p w:rsidR="0058107F" w:rsidRPr="00530AB3" w:rsidRDefault="000C13CE" w:rsidP="00B7169C">
      <w:pPr>
        <w:pStyle w:val="Odstavecseseznamem"/>
        <w:keepNext/>
        <w:numPr>
          <w:ilvl w:val="0"/>
          <w:numId w:val="4"/>
        </w:numPr>
        <w:tabs>
          <w:tab w:val="left" w:pos="284"/>
        </w:tabs>
        <w:spacing w:before="240" w:after="120" w:line="240" w:lineRule="auto"/>
        <w:ind w:left="0" w:firstLine="0"/>
        <w:contextualSpacing w:val="0"/>
        <w:rPr>
          <w:rFonts w:ascii="Arial" w:hAnsi="Arial" w:cs="Arial"/>
          <w:u w:val="single"/>
        </w:rPr>
      </w:pPr>
      <w:r w:rsidRPr="00530AB3">
        <w:rPr>
          <w:rFonts w:ascii="Arial" w:hAnsi="Arial" w:cs="Arial"/>
          <w:u w:val="single"/>
        </w:rPr>
        <w:t>V § 93 navrhujeme upravit odstavec 5 následovně</w:t>
      </w:r>
      <w:r w:rsidR="0058107F" w:rsidRPr="00530AB3">
        <w:rPr>
          <w:rFonts w:ascii="Arial" w:hAnsi="Arial" w:cs="Arial"/>
          <w:u w:val="single"/>
        </w:rPr>
        <w:t>:</w:t>
      </w:r>
    </w:p>
    <w:p w:rsidR="0058107F" w:rsidRPr="00934069" w:rsidRDefault="0058107F" w:rsidP="00530AB3">
      <w:pPr>
        <w:pStyle w:val="Normlnweb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934069">
        <w:rPr>
          <w:rFonts w:ascii="Arial" w:hAnsi="Arial" w:cs="Arial"/>
        </w:rPr>
        <w:t>(5</w:t>
      </w:r>
      <w:r w:rsidRPr="00934069">
        <w:rPr>
          <w:rFonts w:ascii="Arial" w:hAnsi="Arial" w:cs="Arial"/>
          <w:sz w:val="22"/>
          <w:szCs w:val="22"/>
        </w:rPr>
        <w:t xml:space="preserve">) Není-li to odůvodněno předmětem veřejné zakázky </w:t>
      </w:r>
      <w:r w:rsidRPr="00934069">
        <w:rPr>
          <w:rFonts w:ascii="Arial" w:hAnsi="Arial" w:cs="Arial"/>
          <w:b/>
          <w:sz w:val="22"/>
          <w:szCs w:val="22"/>
        </w:rPr>
        <w:t>či nemá-li sektorový zadavatel na zboží či službu, která je součástí veřejné zakázky, uzavřenou rámcovou smlouvu podle tohoto zákona</w:t>
      </w:r>
      <w:r w:rsidRPr="00934069">
        <w:rPr>
          <w:rFonts w:ascii="Arial" w:hAnsi="Arial" w:cs="Arial"/>
          <w:sz w:val="22"/>
          <w:szCs w:val="22"/>
        </w:rPr>
        <w:t xml:space="preserve">, zadavatel nesmí v zadávacích podmínkách </w:t>
      </w:r>
      <w:r w:rsidR="00725F25">
        <w:rPr>
          <w:rFonts w:ascii="Arial" w:hAnsi="Arial" w:cs="Arial"/>
          <w:sz w:val="22"/>
          <w:szCs w:val="22"/>
        </w:rPr>
        <w:t>použít přímý či nepřímý odkaz a </w:t>
      </w:r>
      <w:r w:rsidRPr="00934069">
        <w:rPr>
          <w:rFonts w:ascii="Arial" w:hAnsi="Arial" w:cs="Arial"/>
          <w:sz w:val="22"/>
          <w:szCs w:val="22"/>
        </w:rPr>
        <w:t xml:space="preserve">tím zvýhodnit nebo znevýhodnit určité dodavatele nebo výrobky. Pokud zadavatel pro plnění veřejné zakázky výslovně umožní použití i jiných, kvalitativně a technicky obdobných řešení, lze odkaz připustit v případech, kdy popis předmětu veřejné zakázky s použitím technických specifikací podle odstavce 1 nemůže být dostatečně přesný a srozumitelný. </w:t>
      </w:r>
      <w:r w:rsidRPr="00934069">
        <w:rPr>
          <w:rFonts w:ascii="Arial" w:hAnsi="Arial" w:cs="Arial"/>
          <w:b/>
          <w:sz w:val="22"/>
          <w:szCs w:val="22"/>
        </w:rPr>
        <w:t>V případě stavebních prací lze takový odkaz připustit, pokud to nepovede k neodůvodněnému omezení hospodářské soutěže a</w:t>
      </w:r>
      <w:r w:rsidR="000C13CE">
        <w:rPr>
          <w:rFonts w:ascii="Arial" w:hAnsi="Arial" w:cs="Arial"/>
          <w:b/>
          <w:sz w:val="22"/>
          <w:szCs w:val="22"/>
        </w:rPr>
        <w:t> </w:t>
      </w:r>
      <w:r w:rsidRPr="00934069">
        <w:rPr>
          <w:rFonts w:ascii="Arial" w:hAnsi="Arial" w:cs="Arial"/>
          <w:b/>
          <w:sz w:val="22"/>
          <w:szCs w:val="22"/>
        </w:rPr>
        <w:t>zadavatel vždy umožní p</w:t>
      </w:r>
      <w:r w:rsidR="00B7169C">
        <w:rPr>
          <w:rFonts w:ascii="Arial" w:hAnsi="Arial" w:cs="Arial"/>
          <w:b/>
          <w:sz w:val="22"/>
          <w:szCs w:val="22"/>
        </w:rPr>
        <w:t>oužití i jiných, kvalitativně a </w:t>
      </w:r>
      <w:r w:rsidRPr="00934069">
        <w:rPr>
          <w:rFonts w:ascii="Arial" w:hAnsi="Arial" w:cs="Arial"/>
          <w:b/>
          <w:sz w:val="22"/>
          <w:szCs w:val="22"/>
        </w:rPr>
        <w:t>technicky obdobných řešení.</w:t>
      </w:r>
    </w:p>
    <w:p w:rsidR="00C85773" w:rsidRPr="00934069" w:rsidRDefault="00C85773" w:rsidP="00B7169C">
      <w:pPr>
        <w:keepNext/>
        <w:spacing w:before="240" w:after="0" w:line="240" w:lineRule="auto"/>
        <w:ind w:left="284"/>
        <w:rPr>
          <w:rFonts w:ascii="Arial" w:hAnsi="Arial" w:cs="Arial"/>
          <w:u w:val="single"/>
        </w:rPr>
      </w:pPr>
      <w:r w:rsidRPr="00934069">
        <w:rPr>
          <w:rFonts w:ascii="Arial" w:hAnsi="Arial" w:cs="Arial"/>
          <w:u w:val="single"/>
        </w:rPr>
        <w:t>Zdůvodnění navrhované úpravy:</w:t>
      </w:r>
    </w:p>
    <w:p w:rsidR="00C85773" w:rsidRPr="00934069" w:rsidRDefault="00C85773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Realizace veřejných zakázek na stavební práce je v mnoha případech nemyslitelná bez možnosti užití určitých přímých či nepřímých odkazů, a to i</w:t>
      </w:r>
      <w:r w:rsidR="00B7169C">
        <w:rPr>
          <w:rFonts w:ascii="Arial" w:hAnsi="Arial" w:cs="Arial"/>
        </w:rPr>
        <w:t xml:space="preserve"> z důvodu možných nepřesností a </w:t>
      </w:r>
      <w:r w:rsidRPr="00934069">
        <w:rPr>
          <w:rFonts w:ascii="Arial" w:hAnsi="Arial" w:cs="Arial"/>
        </w:rPr>
        <w:t>nesrozumitelností. Předpokládáme, že i z tohoto důvodu byla tato výjimka výslovně zmíněna ve stávajícím zákoně o veřejných zakázkách, ačkoli se textace čl. 34 odst. 8 stávající sektorové směrnice v podstatě neliší od textu nové sektorové směrnice (čl. 60 odst. 4 směrnice č. 2014/25/EU). Pro zamezení výkladových nejasností bychom upřednostnili výslovné zakotvení této možnosti i v novém zákoně. V opačném případě nový text zákona v porovnání se zněním stávajícím vyvolává dojem, že právě v těchto případech jsou odkazy vylo</w:t>
      </w:r>
      <w:r w:rsidR="002231E6">
        <w:rPr>
          <w:rFonts w:ascii="Arial" w:hAnsi="Arial" w:cs="Arial"/>
        </w:rPr>
        <w:t>učeny.</w:t>
      </w:r>
    </w:p>
    <w:p w:rsidR="00C85773" w:rsidRPr="00934069" w:rsidRDefault="00C85773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Na obdobném základě stojí i další výjimka, nyní v zákoně zakotvená. Má-li sektorový zadavatel v souladu se zákonem uzavřenu rámcovou smlouvu na určité plněn</w:t>
      </w:r>
      <w:r w:rsidR="00AA2882" w:rsidRPr="00934069">
        <w:rPr>
          <w:rFonts w:ascii="Arial" w:hAnsi="Arial" w:cs="Arial"/>
        </w:rPr>
        <w:t>í</w:t>
      </w:r>
      <w:r w:rsidRPr="00934069">
        <w:rPr>
          <w:rFonts w:ascii="Arial" w:hAnsi="Arial" w:cs="Arial"/>
        </w:rPr>
        <w:t xml:space="preserve">, pak by nebylo ani praktické, ani ekonomické neumožnit mu </w:t>
      </w:r>
      <w:r w:rsidR="00AA2882" w:rsidRPr="00934069">
        <w:rPr>
          <w:rFonts w:ascii="Arial" w:hAnsi="Arial" w:cs="Arial"/>
        </w:rPr>
        <w:t>užít zboží, služby či jiná takto smluvně pokrytá plnění v rámci realizace navazující veřejné zakázky.</w:t>
      </w:r>
    </w:p>
    <w:p w:rsidR="00C85773" w:rsidRPr="00530AB3" w:rsidRDefault="00530AB3" w:rsidP="00B7169C">
      <w:pPr>
        <w:pStyle w:val="Odstavecseseznamem"/>
        <w:keepNext/>
        <w:numPr>
          <w:ilvl w:val="0"/>
          <w:numId w:val="4"/>
        </w:numPr>
        <w:tabs>
          <w:tab w:val="left" w:pos="284"/>
        </w:tabs>
        <w:spacing w:before="240" w:after="120" w:line="240" w:lineRule="auto"/>
        <w:ind w:left="0" w:firstLine="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 § 164 navrhujeme v odstavci 1 pozitivně vymezit relevantní činnosti následovně:</w:t>
      </w:r>
    </w:p>
    <w:p w:rsidR="00B9371D" w:rsidRPr="00934069" w:rsidRDefault="0005016B" w:rsidP="00B7169C">
      <w:pPr>
        <w:pStyle w:val="odstavec"/>
        <w:keepNext/>
        <w:spacing w:before="0"/>
        <w:ind w:left="284" w:firstLine="0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(</w:t>
      </w:r>
      <w:r w:rsidR="00B9371D"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1) Relevantní činností se pro účely tohoto zákona rozumí</w:t>
      </w:r>
    </w:p>
    <w:p w:rsidR="00B9371D" w:rsidRPr="00934069" w:rsidRDefault="00B9371D" w:rsidP="00B7169C">
      <w:pPr>
        <w:pStyle w:val="psmeno"/>
        <w:keepNext/>
        <w:tabs>
          <w:tab w:val="clear" w:pos="357"/>
          <w:tab w:val="left" w:pos="993"/>
        </w:tabs>
        <w:ind w:left="709" w:firstLine="0"/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>a)</w:t>
      </w:r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ab/>
        <w:t>v odvětví plynárenství</w:t>
      </w:r>
    </w:p>
    <w:p w:rsidR="00B9371D" w:rsidRPr="00934069" w:rsidRDefault="00B9371D" w:rsidP="00530AB3">
      <w:pPr>
        <w:pStyle w:val="bod"/>
        <w:tabs>
          <w:tab w:val="clear" w:pos="357"/>
          <w:tab w:val="left" w:pos="1276"/>
        </w:tabs>
        <w:spacing w:before="120" w:after="120"/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1.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 xml:space="preserve">poskytování nebo provozování 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 xml:space="preserve">plynárenských </w:t>
      </w:r>
      <w:proofErr w:type="spellStart"/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soustav</w:t>
      </w:r>
      <w:r w:rsidR="0005016B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plynárenské</w:t>
      </w:r>
      <w:proofErr w:type="spellEnd"/>
      <w:r w:rsidR="0005016B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 xml:space="preserve"> soustavy</w:t>
      </w:r>
      <w:r w:rsidR="007450B0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, s výjimkou uskladnění plynu,</w:t>
      </w:r>
      <w:r w:rsidR="00530AB3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 xml:space="preserve"> 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podle jiného právního předpisu 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určených</w:t>
      </w:r>
      <w:r w:rsidR="003C3171"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 xml:space="preserve"> </w:t>
      </w:r>
      <w:r w:rsidR="007450B0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určené</w:t>
      </w:r>
      <w:r w:rsidR="004A22B7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 xml:space="preserve"> 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lastRenderedPageBreak/>
        <w:t>k</w:t>
      </w:r>
      <w:r w:rsidR="00B7169C">
        <w:rPr>
          <w:rFonts w:ascii="Arial" w:eastAsiaTheme="minorHAnsi" w:hAnsi="Arial" w:cs="Arial"/>
          <w:noProof w:val="0"/>
          <w:sz w:val="22"/>
          <w:szCs w:val="22"/>
          <w:lang w:eastAsia="en-US"/>
        </w:rPr>
        <w:t> 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poskytování služeb veřejnosti v souvislosti s výrobou, přepravou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,</w:t>
      </w:r>
      <w:r w:rsidR="00530AB3" w:rsidRPr="00530AB3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 </w:t>
      </w:r>
      <w:r w:rsidR="007450B0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nebo</w:t>
      </w:r>
      <w:r w:rsidR="00530AB3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 xml:space="preserve"> 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distribucí 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nebo uskladňováním</w:t>
      </w:r>
      <w:r w:rsidR="00530AB3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 plynu,</w:t>
      </w:r>
    </w:p>
    <w:p w:rsidR="00B9371D" w:rsidRPr="00934069" w:rsidRDefault="00B9371D" w:rsidP="00530AB3">
      <w:pPr>
        <w:pStyle w:val="bod"/>
        <w:tabs>
          <w:tab w:val="clear" w:pos="357"/>
          <w:tab w:val="left" w:pos="1276"/>
        </w:tabs>
        <w:spacing w:before="120" w:after="120"/>
        <w:ind w:left="1276" w:hanging="283"/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2.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ab/>
        <w:t>dodávka plynu do</w:t>
      </w:r>
      <w:r w:rsidR="003C3171"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 xml:space="preserve"> plynárenských soustav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 xml:space="preserve">, </w:t>
      </w:r>
    </w:p>
    <w:p w:rsidR="00B9371D" w:rsidRPr="00934069" w:rsidRDefault="00B9371D" w:rsidP="00530AB3">
      <w:pPr>
        <w:pStyle w:val="bod"/>
        <w:tabs>
          <w:tab w:val="clear" w:pos="357"/>
          <w:tab w:val="left" w:pos="1276"/>
        </w:tabs>
        <w:spacing w:before="120" w:after="120"/>
        <w:ind w:left="1276" w:hanging="283"/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3.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ab/>
        <w:t>poskytování nebo provozování těžebního plynovodu, nebo</w:t>
      </w:r>
    </w:p>
    <w:p w:rsidR="00B9371D" w:rsidRPr="00934069" w:rsidRDefault="00B9371D" w:rsidP="00530AB3">
      <w:pPr>
        <w:pStyle w:val="bod"/>
        <w:tabs>
          <w:tab w:val="clear" w:pos="357"/>
          <w:tab w:val="left" w:pos="1276"/>
        </w:tabs>
        <w:spacing w:before="120" w:after="120"/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4.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ab/>
        <w:t>poskytování nebo provozování podzemního zásobníku plynu zajišťujícího provozuschopnost přepravní či distribuční soustavy určené k poskytování služby veřejnosti,</w:t>
      </w:r>
    </w:p>
    <w:p w:rsidR="00B9371D" w:rsidRPr="00934069" w:rsidRDefault="00B9371D" w:rsidP="00B7169C">
      <w:pPr>
        <w:keepNext/>
        <w:spacing w:before="240" w:after="0" w:line="240" w:lineRule="auto"/>
        <w:ind w:left="284"/>
        <w:rPr>
          <w:rFonts w:ascii="Arial" w:hAnsi="Arial" w:cs="Arial"/>
          <w:u w:val="single"/>
        </w:rPr>
      </w:pPr>
      <w:r w:rsidRPr="00934069">
        <w:rPr>
          <w:rFonts w:ascii="Arial" w:hAnsi="Arial" w:cs="Arial"/>
          <w:u w:val="single"/>
        </w:rPr>
        <w:t>Zdůvodnění navrhované úpravy:</w:t>
      </w:r>
    </w:p>
    <w:p w:rsidR="002546DF" w:rsidRPr="00934069" w:rsidRDefault="002546DF" w:rsidP="00530AB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 xml:space="preserve">Z pohledu plynárenství dlouhodobě vnímáme jako </w:t>
      </w:r>
      <w:r w:rsidR="004D47DA" w:rsidRPr="00934069">
        <w:rPr>
          <w:rFonts w:ascii="Arial" w:hAnsi="Arial" w:cs="Arial"/>
        </w:rPr>
        <w:t>neodůvodněné</w:t>
      </w:r>
      <w:r w:rsidR="00C85773" w:rsidRPr="00934069">
        <w:rPr>
          <w:rFonts w:ascii="Arial" w:hAnsi="Arial" w:cs="Arial"/>
        </w:rPr>
        <w:t xml:space="preserve"> </w:t>
      </w:r>
      <w:r w:rsidRPr="00934069">
        <w:rPr>
          <w:rFonts w:ascii="Arial" w:hAnsi="Arial" w:cs="Arial"/>
        </w:rPr>
        <w:t xml:space="preserve">čistě národní rozšíření okruhu relevantních činností nad rámec sektorové směrnice </w:t>
      </w:r>
      <w:r w:rsidR="00B9371D" w:rsidRPr="00934069">
        <w:rPr>
          <w:rFonts w:ascii="Arial" w:hAnsi="Arial" w:cs="Arial"/>
        </w:rPr>
        <w:t xml:space="preserve">(nově </w:t>
      </w:r>
      <w:r w:rsidRPr="00934069">
        <w:rPr>
          <w:rFonts w:ascii="Arial" w:hAnsi="Arial" w:cs="Arial"/>
        </w:rPr>
        <w:t>20</w:t>
      </w:r>
      <w:r w:rsidR="00B9371D" w:rsidRPr="00934069">
        <w:rPr>
          <w:rFonts w:ascii="Arial" w:hAnsi="Arial" w:cs="Arial"/>
        </w:rPr>
        <w:t>14</w:t>
      </w:r>
      <w:r w:rsidRPr="00934069">
        <w:rPr>
          <w:rFonts w:ascii="Arial" w:hAnsi="Arial" w:cs="Arial"/>
        </w:rPr>
        <w:t>/</w:t>
      </w:r>
      <w:r w:rsidR="00B9371D" w:rsidRPr="00934069">
        <w:rPr>
          <w:rFonts w:ascii="Arial" w:hAnsi="Arial" w:cs="Arial"/>
        </w:rPr>
        <w:t>25</w:t>
      </w:r>
      <w:r w:rsidRPr="00934069">
        <w:rPr>
          <w:rFonts w:ascii="Arial" w:hAnsi="Arial" w:cs="Arial"/>
        </w:rPr>
        <w:t>/E</w:t>
      </w:r>
      <w:r w:rsidR="00B9371D" w:rsidRPr="00934069">
        <w:rPr>
          <w:rFonts w:ascii="Arial" w:hAnsi="Arial" w:cs="Arial"/>
        </w:rPr>
        <w:t>U), a to o </w:t>
      </w:r>
      <w:r w:rsidRPr="00934069">
        <w:rPr>
          <w:rFonts w:ascii="Arial" w:hAnsi="Arial" w:cs="Arial"/>
        </w:rPr>
        <w:t>činnost „poskytování nebo provozování podzemního zásobníku plynu zajišťujícího provozuschopnost přepravní či distribuční soustavy určené k poskytování služby veřejnosti“.</w:t>
      </w:r>
    </w:p>
    <w:p w:rsidR="00B9371D" w:rsidRPr="00934069" w:rsidRDefault="00B9371D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I když vymezení této relevantní činnosti navazuje na</w:t>
      </w:r>
      <w:r w:rsidR="007450B0" w:rsidRPr="00934069">
        <w:rPr>
          <w:rFonts w:ascii="Arial" w:hAnsi="Arial" w:cs="Arial"/>
        </w:rPr>
        <w:t xml:space="preserve"> příslušná ustanovení zákona č. </w:t>
      </w:r>
      <w:r w:rsidRPr="00934069">
        <w:rPr>
          <w:rFonts w:ascii="Arial" w:hAnsi="Arial" w:cs="Arial"/>
        </w:rPr>
        <w:t>458/2000 Sb., o podmínkách podnikání a o výkonu státní správy v energetických odvětvích</w:t>
      </w:r>
      <w:r w:rsidR="007450B0" w:rsidRPr="00934069">
        <w:rPr>
          <w:rFonts w:ascii="Arial" w:hAnsi="Arial" w:cs="Arial"/>
        </w:rPr>
        <w:t>, v platném znění</w:t>
      </w:r>
      <w:r w:rsidRPr="00934069">
        <w:rPr>
          <w:rFonts w:ascii="Arial" w:hAnsi="Arial" w:cs="Arial"/>
        </w:rPr>
        <w:t xml:space="preserve"> (</w:t>
      </w:r>
      <w:r w:rsidR="007450B0" w:rsidRPr="00934069">
        <w:rPr>
          <w:rFonts w:ascii="Arial" w:hAnsi="Arial" w:cs="Arial"/>
        </w:rPr>
        <w:t>dále jen „</w:t>
      </w:r>
      <w:r w:rsidRPr="00934069">
        <w:rPr>
          <w:rFonts w:ascii="Arial" w:hAnsi="Arial" w:cs="Arial"/>
        </w:rPr>
        <w:t>energetický zákon</w:t>
      </w:r>
      <w:r w:rsidR="007450B0" w:rsidRPr="00934069">
        <w:rPr>
          <w:rFonts w:ascii="Arial" w:hAnsi="Arial" w:cs="Arial"/>
        </w:rPr>
        <w:t>“</w:t>
      </w:r>
      <w:r w:rsidRPr="00934069">
        <w:rPr>
          <w:rFonts w:ascii="Arial" w:hAnsi="Arial" w:cs="Arial"/>
        </w:rPr>
        <w:t>), upravující činnost uskladňování plynu, obsahuje bohužel významové nejasnosti ve výkladu části věty „zajištění provozuschopnosti přepravní či distribuční soustavy určené k poskytování služby veřejnosti“, která nemá významovou oporu v definicích používaných energetickým zákonem.</w:t>
      </w:r>
    </w:p>
    <w:p w:rsidR="00A56AB9" w:rsidRPr="00934069" w:rsidRDefault="00A56AB9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Rovněž v jiných členských státech EU (viz např. Francie, Spojené království, Německo, Slovensko či Rakousko) není skladování plynu zahrnuto do okruhu činností relevantních z pohledu veřejných zakázek. V rámci nového zákona o zadávacích řízeních proto žádáme zahrnutí pouze těch činností, jež jsou relevantní z pohledu unijní úpravy v rámci sektorové směrnice</w:t>
      </w:r>
      <w:r w:rsidR="00CC0FF6" w:rsidRPr="00934069">
        <w:rPr>
          <w:rFonts w:ascii="Arial" w:hAnsi="Arial" w:cs="Arial"/>
        </w:rPr>
        <w:t>.</w:t>
      </w:r>
    </w:p>
    <w:p w:rsidR="00AA2882" w:rsidRPr="00934069" w:rsidRDefault="00AA2882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Ačkoli</w:t>
      </w:r>
      <w:r w:rsidR="00354069" w:rsidRPr="00934069">
        <w:rPr>
          <w:rFonts w:ascii="Arial" w:hAnsi="Arial" w:cs="Arial"/>
        </w:rPr>
        <w:t>v</w:t>
      </w:r>
      <w:r w:rsidRPr="00934069">
        <w:rPr>
          <w:rFonts w:ascii="Arial" w:hAnsi="Arial" w:cs="Arial"/>
        </w:rPr>
        <w:t xml:space="preserve"> se </w:t>
      </w:r>
      <w:r w:rsidR="00BE6B33" w:rsidRPr="00934069">
        <w:rPr>
          <w:rFonts w:ascii="Arial" w:hAnsi="Arial" w:cs="Arial"/>
        </w:rPr>
        <w:t xml:space="preserve">činnost specifikovaná </w:t>
      </w:r>
      <w:r w:rsidRPr="00934069">
        <w:rPr>
          <w:rFonts w:ascii="Arial" w:hAnsi="Arial" w:cs="Arial"/>
        </w:rPr>
        <w:t>jako „dodávka plynu nebo tepla do takových sítí“ pod bodem 2</w:t>
      </w:r>
      <w:r w:rsidR="00BE6B33" w:rsidRPr="00934069">
        <w:rPr>
          <w:rFonts w:ascii="Arial" w:hAnsi="Arial" w:cs="Arial"/>
        </w:rPr>
        <w:t>.</w:t>
      </w:r>
      <w:r w:rsidRPr="00934069">
        <w:rPr>
          <w:rFonts w:ascii="Arial" w:hAnsi="Arial" w:cs="Arial"/>
        </w:rPr>
        <w:t xml:space="preserve"> vyskytuje ve stávající sektorové směrnici</w:t>
      </w:r>
      <w:r w:rsidR="00BE6B33" w:rsidRPr="00934069">
        <w:rPr>
          <w:rFonts w:ascii="Arial" w:hAnsi="Arial" w:cs="Arial"/>
        </w:rPr>
        <w:t xml:space="preserve"> j</w:t>
      </w:r>
      <w:r w:rsidRPr="00934069">
        <w:rPr>
          <w:rFonts w:ascii="Arial" w:hAnsi="Arial" w:cs="Arial"/>
        </w:rPr>
        <w:t>a</w:t>
      </w:r>
      <w:r w:rsidR="00BE6B33" w:rsidRPr="00934069">
        <w:rPr>
          <w:rFonts w:ascii="Arial" w:hAnsi="Arial" w:cs="Arial"/>
        </w:rPr>
        <w:t>ko „dodávky plynu</w:t>
      </w:r>
      <w:r w:rsidR="00B7169C">
        <w:rPr>
          <w:rFonts w:ascii="Arial" w:hAnsi="Arial" w:cs="Arial"/>
        </w:rPr>
        <w:t xml:space="preserve"> nebo tepla do takových sítí“ a </w:t>
      </w:r>
      <w:r w:rsidR="00BE6B33" w:rsidRPr="00934069">
        <w:rPr>
          <w:rFonts w:ascii="Arial" w:hAnsi="Arial" w:cs="Arial"/>
        </w:rPr>
        <w:t>jako</w:t>
      </w:r>
      <w:r w:rsidRPr="00934069">
        <w:rPr>
          <w:rFonts w:ascii="Arial" w:hAnsi="Arial" w:cs="Arial"/>
        </w:rPr>
        <w:t xml:space="preserve"> </w:t>
      </w:r>
      <w:r w:rsidR="00BE6B33" w:rsidRPr="00934069">
        <w:rPr>
          <w:rFonts w:ascii="Arial" w:hAnsi="Arial" w:cs="Arial"/>
        </w:rPr>
        <w:t>„dodávky plynu nebo tepla to těchto pevných sítí“ se vyskytuje i v nové sektorové směrnici, nelze si v konečném důsledku pod touto činností představit žádného sektorového zadavatele, neboť plyn dodává do těchto sítí obchodník, který však nebude za žádných okolností držitelem zvláštního či výhradního práva, a tedy ani sektorovým zadavatelem. Toto ustanovení je matoucí, což je patrně důvod, proč nebylo reflektováno ani ve stávajícím zákoně o veřejných zakázkách, ačkoli evropská úprava je v tomto případě téměř stejná. Navrhujeme tedy bod 2. vypustit z důvodu nadbytečnosti.</w:t>
      </w:r>
    </w:p>
    <w:p w:rsidR="007450B0" w:rsidRPr="00934069" w:rsidRDefault="007450B0" w:rsidP="00530AB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Dále bychom doporučili zohlednit terminologii používanou v energetickém zákoně, který vymezuje pojem „plynárenská soustava“ v jednotném čísle (viz § 2 odst. 2 písm. b) bod 7.), přičemž okruh relevantních činností</w:t>
      </w:r>
      <w:r w:rsidR="00EA3F09" w:rsidRPr="00934069">
        <w:rPr>
          <w:rFonts w:ascii="Arial" w:hAnsi="Arial" w:cs="Arial"/>
        </w:rPr>
        <w:t xml:space="preserve">, resp. souboru zařízení, </w:t>
      </w:r>
      <w:r w:rsidRPr="00934069">
        <w:rPr>
          <w:rFonts w:ascii="Arial" w:hAnsi="Arial" w:cs="Arial"/>
        </w:rPr>
        <w:t xml:space="preserve">je </w:t>
      </w:r>
      <w:r w:rsidR="00D67FE0" w:rsidRPr="00934069">
        <w:rPr>
          <w:rFonts w:ascii="Arial" w:hAnsi="Arial" w:cs="Arial"/>
        </w:rPr>
        <w:t xml:space="preserve">třeba </w:t>
      </w:r>
      <w:r w:rsidRPr="00934069">
        <w:rPr>
          <w:rFonts w:ascii="Arial" w:hAnsi="Arial" w:cs="Arial"/>
        </w:rPr>
        <w:t xml:space="preserve">dále </w:t>
      </w:r>
      <w:r w:rsidR="00D67FE0" w:rsidRPr="00934069">
        <w:rPr>
          <w:rFonts w:ascii="Arial" w:hAnsi="Arial" w:cs="Arial"/>
        </w:rPr>
        <w:t xml:space="preserve">dle směrnice </w:t>
      </w:r>
      <w:r w:rsidRPr="00934069">
        <w:rPr>
          <w:rFonts w:ascii="Arial" w:hAnsi="Arial" w:cs="Arial"/>
        </w:rPr>
        <w:t>omez</w:t>
      </w:r>
      <w:r w:rsidR="00D67FE0" w:rsidRPr="00934069">
        <w:rPr>
          <w:rFonts w:ascii="Arial" w:hAnsi="Arial" w:cs="Arial"/>
        </w:rPr>
        <w:t>it</w:t>
      </w:r>
      <w:r w:rsidRPr="00934069">
        <w:rPr>
          <w:rFonts w:ascii="Arial" w:hAnsi="Arial" w:cs="Arial"/>
        </w:rPr>
        <w:t xml:space="preserve"> pouze na výrobu, přepravu a distribuci</w:t>
      </w:r>
      <w:r w:rsidR="00EA3F09" w:rsidRPr="00934069">
        <w:rPr>
          <w:rFonts w:ascii="Arial" w:hAnsi="Arial" w:cs="Arial"/>
        </w:rPr>
        <w:t xml:space="preserve"> plynu</w:t>
      </w:r>
      <w:r w:rsidRPr="00934069">
        <w:rPr>
          <w:rFonts w:ascii="Arial" w:hAnsi="Arial" w:cs="Arial"/>
        </w:rPr>
        <w:t>.</w:t>
      </w:r>
      <w:r w:rsidR="00EA3F09" w:rsidRPr="00934069">
        <w:rPr>
          <w:rFonts w:ascii="Arial" w:hAnsi="Arial" w:cs="Arial"/>
        </w:rPr>
        <w:t xml:space="preserve"> Jelikož činnost výroby plynu je již zahrnuta pod bodem 1., který zohledňuje i textaci sektorové směrnice (čl. 8 odst. 1 písm. a) směrnice 2014/25/EU) navrhujeme vypustit bod 3. z důvodu nadbytečnosti.</w:t>
      </w:r>
    </w:p>
    <w:p w:rsidR="000656AD" w:rsidRPr="00B7169C" w:rsidRDefault="00B7169C" w:rsidP="00B7169C">
      <w:pPr>
        <w:pStyle w:val="Odstavecseseznamem"/>
        <w:keepNext/>
        <w:numPr>
          <w:ilvl w:val="0"/>
          <w:numId w:val="4"/>
        </w:numPr>
        <w:tabs>
          <w:tab w:val="left" w:pos="284"/>
        </w:tabs>
        <w:spacing w:before="240" w:after="120" w:line="240" w:lineRule="auto"/>
        <w:ind w:left="0" w:firstLine="0"/>
        <w:contextualSpacing w:val="0"/>
        <w:rPr>
          <w:rFonts w:ascii="Arial" w:hAnsi="Arial" w:cs="Arial"/>
          <w:u w:val="single"/>
        </w:rPr>
      </w:pPr>
      <w:r w:rsidRPr="00B7169C">
        <w:rPr>
          <w:rFonts w:ascii="Arial" w:hAnsi="Arial" w:cs="Arial"/>
          <w:u w:val="single"/>
        </w:rPr>
        <w:t xml:space="preserve">V § 164 navrhujeme v odstavci </w:t>
      </w:r>
      <w:r>
        <w:rPr>
          <w:rFonts w:ascii="Arial" w:hAnsi="Arial" w:cs="Arial"/>
          <w:u w:val="single"/>
        </w:rPr>
        <w:t>2</w:t>
      </w:r>
      <w:r w:rsidRPr="00B7169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negativně </w:t>
      </w:r>
      <w:r w:rsidRPr="00B7169C">
        <w:rPr>
          <w:rFonts w:ascii="Arial" w:hAnsi="Arial" w:cs="Arial"/>
          <w:u w:val="single"/>
        </w:rPr>
        <w:t>vymezit relevantní činnosti následovně</w:t>
      </w:r>
      <w:r>
        <w:rPr>
          <w:rFonts w:ascii="Arial" w:hAnsi="Arial" w:cs="Arial"/>
          <w:u w:val="single"/>
        </w:rPr>
        <w:t>:</w:t>
      </w:r>
    </w:p>
    <w:p w:rsidR="007274C2" w:rsidRPr="00934069" w:rsidRDefault="007274C2" w:rsidP="00B7169C">
      <w:pPr>
        <w:pStyle w:val="odstavec"/>
        <w:spacing w:before="0"/>
        <w:ind w:left="284" w:firstLine="0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(2) </w:t>
      </w:r>
      <w:r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Nejde-li o veřejného zadavatele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, </w:t>
      </w:r>
      <w:r w:rsidRPr="00934069">
        <w:rPr>
          <w:rFonts w:ascii="Arial" w:eastAsiaTheme="minorHAnsi" w:hAnsi="Arial" w:cs="Arial"/>
          <w:strike/>
          <w:noProof w:val="0"/>
          <w:sz w:val="22"/>
          <w:szCs w:val="22"/>
          <w:lang w:eastAsia="en-US"/>
        </w:rPr>
        <w:t>Za</w:t>
      </w:r>
      <w:r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za</w:t>
      </w:r>
      <w:r w:rsidR="00A56AB9" w:rsidRPr="00934069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 xml:space="preserve"> 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 xml:space="preserve">relevantní činnost se pro účely tohoto zákona nepovažuje </w:t>
      </w:r>
    </w:p>
    <w:p w:rsidR="007274C2" w:rsidRPr="00934069" w:rsidRDefault="007274C2" w:rsidP="00B7169C">
      <w:pPr>
        <w:pStyle w:val="psmeno"/>
        <w:tabs>
          <w:tab w:val="clear" w:pos="357"/>
          <w:tab w:val="left" w:pos="993"/>
        </w:tabs>
        <w:ind w:left="709" w:firstLine="0"/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</w:pPr>
      <w:proofErr w:type="gramStart"/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>a)</w:t>
      </w:r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ab/>
        <w:t>dodávka</w:t>
      </w:r>
      <w:proofErr w:type="gramEnd"/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 xml:space="preserve"> vyrobené tepelné energie nebo plynu, </w:t>
      </w:r>
      <w:proofErr w:type="gramStart"/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>jejichž</w:t>
      </w:r>
      <w:proofErr w:type="gramEnd"/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1.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>výroba je důsledkem jiné činnosti, než je činnost podle odstavce 1,</w:t>
      </w:r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2.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>dodávka do veřejných soustav se uskutečňuje z důvodu ekonomického využití tepelné energie nebo plynu a</w:t>
      </w:r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3.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>hodnota nedosahuje více než 20 % průměrného obratu zadavatele za poslední 3 roky,</w:t>
      </w:r>
    </w:p>
    <w:p w:rsidR="007274C2" w:rsidRPr="00934069" w:rsidRDefault="007274C2" w:rsidP="00B7169C">
      <w:pPr>
        <w:pStyle w:val="psmeno"/>
        <w:tabs>
          <w:tab w:val="clear" w:pos="357"/>
          <w:tab w:val="left" w:pos="993"/>
        </w:tabs>
        <w:ind w:left="993" w:hanging="284"/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>b)</w:t>
      </w:r>
      <w:r w:rsidRPr="00934069">
        <w:rPr>
          <w:rFonts w:ascii="Arial" w:eastAsiaTheme="minorHAnsi" w:hAnsi="Arial" w:cs="Arial"/>
          <w:noProof w:val="0"/>
          <w:sz w:val="22"/>
          <w:szCs w:val="22"/>
          <w:lang w:val="cs-CZ" w:eastAsia="en-US"/>
        </w:rPr>
        <w:tab/>
        <w:t>dodávka vyrobené elektřiny nebo pitné vody, jejichž</w:t>
      </w:r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1.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 xml:space="preserve"> výroba je prováděna za účelem výkonu jiné činnosti, než je činnost podle odstavce 1,</w:t>
      </w:r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>2.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 xml:space="preserve"> dodávka do veřejných soustav závisí pouze na vlastní spotřebě zadavatele a</w:t>
      </w:r>
    </w:p>
    <w:p w:rsidR="007274C2" w:rsidRPr="00934069" w:rsidRDefault="007274C2" w:rsidP="00B7169C">
      <w:pPr>
        <w:pStyle w:val="bod"/>
        <w:tabs>
          <w:tab w:val="clear" w:pos="357"/>
          <w:tab w:val="left" w:pos="1276"/>
        </w:tabs>
        <w:ind w:left="1276" w:hanging="283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lastRenderedPageBreak/>
        <w:t>3.</w:t>
      </w:r>
      <w:r w:rsidRPr="00934069">
        <w:rPr>
          <w:rFonts w:ascii="Arial" w:eastAsiaTheme="minorHAnsi" w:hAnsi="Arial" w:cs="Arial"/>
          <w:noProof w:val="0"/>
          <w:sz w:val="22"/>
          <w:szCs w:val="22"/>
          <w:lang w:eastAsia="en-US"/>
        </w:rPr>
        <w:tab/>
        <w:t xml:space="preserve"> objem nedosahuje více než 30 % průměrné celkové výroby elektřiny nebo pitné vody zadavatelem za předcházející 3 roky, nebo</w:t>
      </w:r>
    </w:p>
    <w:p w:rsidR="007274C2" w:rsidRPr="00934069" w:rsidRDefault="007274C2" w:rsidP="00B7169C">
      <w:pPr>
        <w:keepNext/>
        <w:spacing w:before="240" w:after="0" w:line="240" w:lineRule="auto"/>
        <w:ind w:left="284"/>
        <w:rPr>
          <w:rFonts w:ascii="Arial" w:hAnsi="Arial" w:cs="Arial"/>
          <w:u w:val="single"/>
        </w:rPr>
      </w:pPr>
      <w:r w:rsidRPr="00934069">
        <w:rPr>
          <w:rFonts w:ascii="Arial" w:hAnsi="Arial" w:cs="Arial"/>
          <w:u w:val="single"/>
        </w:rPr>
        <w:t>Zdůvodnění navrhované úpravy:</w:t>
      </w:r>
    </w:p>
    <w:p w:rsidR="007274C2" w:rsidRDefault="007274C2" w:rsidP="00B7169C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934069">
        <w:rPr>
          <w:rFonts w:ascii="Arial" w:hAnsi="Arial" w:cs="Arial"/>
        </w:rPr>
        <w:t>Sektorová směrnice v čl. 8 odst. 2 a 9 odst. 2 výjimku poskytuje pouze sektorovému zadavateli, který na základě této výjimky, při splnění kumulativně stanovených podmínek, není povinen zadávat nadlimitní veřejné zakázky, které souvisí s</w:t>
      </w:r>
      <w:r w:rsidR="00A0114C" w:rsidRPr="00934069">
        <w:rPr>
          <w:rFonts w:ascii="Arial" w:hAnsi="Arial" w:cs="Arial"/>
        </w:rPr>
        <w:t xml:space="preserve"> výkonem </w:t>
      </w:r>
      <w:r w:rsidRPr="00934069">
        <w:rPr>
          <w:rFonts w:ascii="Arial" w:hAnsi="Arial" w:cs="Arial"/>
        </w:rPr>
        <w:t>relevantní činností, v</w:t>
      </w:r>
      <w:r w:rsidR="00A0114C" w:rsidRPr="00934069">
        <w:rPr>
          <w:rFonts w:ascii="Arial" w:hAnsi="Arial" w:cs="Arial"/>
        </w:rPr>
        <w:t> </w:t>
      </w:r>
      <w:r w:rsidRPr="00934069">
        <w:rPr>
          <w:rFonts w:ascii="Arial" w:hAnsi="Arial" w:cs="Arial"/>
        </w:rPr>
        <w:t>režimu</w:t>
      </w:r>
      <w:r w:rsidR="00A0114C" w:rsidRPr="00934069">
        <w:rPr>
          <w:rFonts w:ascii="Arial" w:hAnsi="Arial" w:cs="Arial"/>
        </w:rPr>
        <w:t xml:space="preserve"> zákona o zadávacích řízeních.</w:t>
      </w: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P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B76887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1</w:t>
      </w:r>
      <w:r w:rsidR="006028BC">
        <w:rPr>
          <w:rFonts w:ascii="Arial" w:hAnsi="Arial" w:cs="Arial"/>
        </w:rPr>
        <w:t>6</w:t>
      </w:r>
      <w:r w:rsidRPr="00B768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B76887">
        <w:rPr>
          <w:rFonts w:ascii="Arial" w:hAnsi="Arial" w:cs="Arial"/>
        </w:rPr>
        <w:t xml:space="preserve"> 2015</w:t>
      </w:r>
    </w:p>
    <w:p w:rsidR="00B76887" w:rsidRP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P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</w:p>
    <w:p w:rsidR="00B76887" w:rsidRP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B76887">
        <w:rPr>
          <w:rFonts w:ascii="Arial" w:hAnsi="Arial" w:cs="Arial"/>
        </w:rPr>
        <w:t>Za ČPS</w:t>
      </w:r>
    </w:p>
    <w:p w:rsidR="00B76887" w:rsidRPr="00B76887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B76887">
        <w:rPr>
          <w:rFonts w:ascii="Arial" w:hAnsi="Arial" w:cs="Arial"/>
        </w:rPr>
        <w:t>Ing. Jan Ruml</w:t>
      </w:r>
    </w:p>
    <w:p w:rsidR="00B76887" w:rsidRPr="00934069" w:rsidRDefault="00B76887" w:rsidP="00B76887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B76887">
        <w:rPr>
          <w:rFonts w:ascii="Arial" w:hAnsi="Arial" w:cs="Arial"/>
        </w:rPr>
        <w:t>výkonný ředitel</w:t>
      </w:r>
    </w:p>
    <w:sectPr w:rsidR="00B76887" w:rsidRPr="00934069" w:rsidSect="00B8250F">
      <w:headerReference w:type="default" r:id="rId7"/>
      <w:footerReference w:type="default" r:id="rId8"/>
      <w:headerReference w:type="first" r:id="rId9"/>
      <w:pgSz w:w="11906" w:h="16838" w:code="9"/>
      <w:pgMar w:top="1418" w:right="1133" w:bottom="1418" w:left="1134" w:header="709" w:footer="4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E9" w:rsidRDefault="005D72E9" w:rsidP="00B8250F">
      <w:pPr>
        <w:spacing w:after="0" w:line="240" w:lineRule="auto"/>
      </w:pPr>
      <w:r>
        <w:separator/>
      </w:r>
    </w:p>
  </w:endnote>
  <w:endnote w:type="continuationSeparator" w:id="0">
    <w:p w:rsidR="005D72E9" w:rsidRDefault="005D72E9" w:rsidP="00B8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6057"/>
      <w:docPartObj>
        <w:docPartGallery w:val="Page Numbers (Bottom of Page)"/>
        <w:docPartUnique/>
      </w:docPartObj>
    </w:sdtPr>
    <w:sdtContent>
      <w:p w:rsidR="00B8250F" w:rsidRDefault="000D4DFD">
        <w:pPr>
          <w:pStyle w:val="Zpat"/>
          <w:jc w:val="center"/>
        </w:pPr>
        <w:r w:rsidRPr="00B8250F">
          <w:rPr>
            <w:rFonts w:ascii="Arial" w:hAnsi="Arial" w:cs="Arial"/>
          </w:rPr>
          <w:fldChar w:fldCharType="begin"/>
        </w:r>
        <w:r w:rsidR="00B8250F" w:rsidRPr="00B8250F">
          <w:rPr>
            <w:rFonts w:ascii="Arial" w:hAnsi="Arial" w:cs="Arial"/>
          </w:rPr>
          <w:instrText xml:space="preserve"> PAGE   \* MERGEFORMAT </w:instrText>
        </w:r>
        <w:r w:rsidRPr="00B8250F">
          <w:rPr>
            <w:rFonts w:ascii="Arial" w:hAnsi="Arial" w:cs="Arial"/>
          </w:rPr>
          <w:fldChar w:fldCharType="separate"/>
        </w:r>
        <w:r w:rsidR="006028BC">
          <w:rPr>
            <w:rFonts w:ascii="Arial" w:hAnsi="Arial" w:cs="Arial"/>
            <w:noProof/>
          </w:rPr>
          <w:t>2</w:t>
        </w:r>
        <w:r w:rsidRPr="00B8250F">
          <w:rPr>
            <w:rFonts w:ascii="Arial" w:hAnsi="Arial" w:cs="Arial"/>
          </w:rPr>
          <w:fldChar w:fldCharType="end"/>
        </w:r>
      </w:p>
    </w:sdtContent>
  </w:sdt>
  <w:p w:rsidR="00B8250F" w:rsidRDefault="00B825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E9" w:rsidRDefault="005D72E9" w:rsidP="00B8250F">
      <w:pPr>
        <w:spacing w:after="0" w:line="240" w:lineRule="auto"/>
      </w:pPr>
      <w:r>
        <w:separator/>
      </w:r>
    </w:p>
  </w:footnote>
  <w:footnote w:type="continuationSeparator" w:id="0">
    <w:p w:rsidR="005D72E9" w:rsidRDefault="005D72E9" w:rsidP="00B8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0F" w:rsidRDefault="00B8250F" w:rsidP="00B8250F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0F" w:rsidRDefault="00B8250F" w:rsidP="00B8250F">
    <w:pPr>
      <w:pStyle w:val="Zhlav"/>
      <w:jc w:val="center"/>
    </w:pPr>
    <w:r w:rsidRPr="00B8250F">
      <w:rPr>
        <w:noProof/>
        <w:lang w:eastAsia="cs-CZ"/>
      </w:rPr>
      <w:drawing>
        <wp:inline distT="0" distB="0" distL="0" distR="0">
          <wp:extent cx="2266950" cy="609600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373" cy="61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B1E"/>
    <w:multiLevelType w:val="hybridMultilevel"/>
    <w:tmpl w:val="8A148C9A"/>
    <w:lvl w:ilvl="0" w:tplc="102A6F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27C41"/>
    <w:multiLevelType w:val="hybridMultilevel"/>
    <w:tmpl w:val="D7D21EEE"/>
    <w:lvl w:ilvl="0" w:tplc="D692539C">
      <w:start w:val="1"/>
      <w:numFmt w:val="low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60E1E"/>
    <w:multiLevelType w:val="hybridMultilevel"/>
    <w:tmpl w:val="1940EBDE"/>
    <w:lvl w:ilvl="0" w:tplc="05863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85851"/>
    <w:multiLevelType w:val="hybridMultilevel"/>
    <w:tmpl w:val="BDD65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887"/>
    <w:rsid w:val="0005016B"/>
    <w:rsid w:val="000656AD"/>
    <w:rsid w:val="000C13CE"/>
    <w:rsid w:val="000D4DFD"/>
    <w:rsid w:val="000F2240"/>
    <w:rsid w:val="000F5358"/>
    <w:rsid w:val="002231E6"/>
    <w:rsid w:val="002546DF"/>
    <w:rsid w:val="002D37D6"/>
    <w:rsid w:val="002E65A4"/>
    <w:rsid w:val="00354069"/>
    <w:rsid w:val="003C3171"/>
    <w:rsid w:val="004779A9"/>
    <w:rsid w:val="004A22B7"/>
    <w:rsid w:val="004B7288"/>
    <w:rsid w:val="004D47DA"/>
    <w:rsid w:val="005063AC"/>
    <w:rsid w:val="00530AB3"/>
    <w:rsid w:val="00565D51"/>
    <w:rsid w:val="0058107F"/>
    <w:rsid w:val="005D72E9"/>
    <w:rsid w:val="006028BC"/>
    <w:rsid w:val="006322CB"/>
    <w:rsid w:val="00696D2F"/>
    <w:rsid w:val="00697A3D"/>
    <w:rsid w:val="00716CAF"/>
    <w:rsid w:val="00725F25"/>
    <w:rsid w:val="007274C2"/>
    <w:rsid w:val="007450B0"/>
    <w:rsid w:val="00746B45"/>
    <w:rsid w:val="00934069"/>
    <w:rsid w:val="00A0114C"/>
    <w:rsid w:val="00A2412C"/>
    <w:rsid w:val="00A56AB9"/>
    <w:rsid w:val="00A939AF"/>
    <w:rsid w:val="00AA2882"/>
    <w:rsid w:val="00AF786C"/>
    <w:rsid w:val="00B53887"/>
    <w:rsid w:val="00B7169C"/>
    <w:rsid w:val="00B76887"/>
    <w:rsid w:val="00B8250F"/>
    <w:rsid w:val="00B9371D"/>
    <w:rsid w:val="00BE6B33"/>
    <w:rsid w:val="00C347BA"/>
    <w:rsid w:val="00C54BCA"/>
    <w:rsid w:val="00C85773"/>
    <w:rsid w:val="00C9120C"/>
    <w:rsid w:val="00CC0FF6"/>
    <w:rsid w:val="00D67FE0"/>
    <w:rsid w:val="00D75F2B"/>
    <w:rsid w:val="00EA3F09"/>
    <w:rsid w:val="00EB31EB"/>
    <w:rsid w:val="00EC57B7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6DF"/>
    <w:pPr>
      <w:ind w:left="720"/>
      <w:contextualSpacing/>
    </w:pPr>
  </w:style>
  <w:style w:type="paragraph" w:customStyle="1" w:styleId="odstavec">
    <w:name w:val="odstavec"/>
    <w:basedOn w:val="Normln"/>
    <w:rsid w:val="00B9371D"/>
    <w:pPr>
      <w:spacing w:before="120" w:after="0" w:line="240" w:lineRule="auto"/>
      <w:ind w:firstLine="482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bod">
    <w:name w:val="bod"/>
    <w:basedOn w:val="slovanseznam2"/>
    <w:rsid w:val="00B9371D"/>
    <w:pPr>
      <w:tabs>
        <w:tab w:val="clear" w:pos="360"/>
        <w:tab w:val="left" w:pos="357"/>
      </w:tabs>
      <w:spacing w:after="0" w:line="240" w:lineRule="auto"/>
      <w:ind w:left="714" w:hanging="357"/>
      <w:contextualSpacing w:val="0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psmeno">
    <w:name w:val="písmeno"/>
    <w:basedOn w:val="slovanseznam"/>
    <w:rsid w:val="00B9371D"/>
    <w:pPr>
      <w:tabs>
        <w:tab w:val="clear" w:pos="360"/>
        <w:tab w:val="left" w:pos="357"/>
      </w:tabs>
      <w:spacing w:after="0" w:line="240" w:lineRule="auto"/>
      <w:ind w:left="357" w:hanging="357"/>
      <w:contextualSpacing w:val="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slovanseznam2">
    <w:name w:val="List Number 2"/>
    <w:basedOn w:val="Normln"/>
    <w:uiPriority w:val="99"/>
    <w:semiHidden/>
    <w:unhideWhenUsed/>
    <w:rsid w:val="00B9371D"/>
    <w:pPr>
      <w:tabs>
        <w:tab w:val="num" w:pos="360"/>
      </w:tabs>
      <w:contextualSpacing/>
    </w:pPr>
  </w:style>
  <w:style w:type="paragraph" w:styleId="slovanseznam">
    <w:name w:val="List Number"/>
    <w:basedOn w:val="Normln"/>
    <w:uiPriority w:val="99"/>
    <w:semiHidden/>
    <w:unhideWhenUsed/>
    <w:rsid w:val="00B9371D"/>
    <w:pPr>
      <w:tabs>
        <w:tab w:val="num" w:pos="360"/>
      </w:tabs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7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2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8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88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B8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250F"/>
  </w:style>
  <w:style w:type="paragraph" w:styleId="Zpat">
    <w:name w:val="footer"/>
    <w:basedOn w:val="Normln"/>
    <w:link w:val="ZpatChar"/>
    <w:uiPriority w:val="99"/>
    <w:unhideWhenUsed/>
    <w:rsid w:val="00B8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6DF"/>
    <w:pPr>
      <w:ind w:left="720"/>
      <w:contextualSpacing/>
    </w:pPr>
  </w:style>
  <w:style w:type="paragraph" w:customStyle="1" w:styleId="odstavec">
    <w:name w:val="odstavec"/>
    <w:basedOn w:val="Normln"/>
    <w:rsid w:val="00B9371D"/>
    <w:pPr>
      <w:spacing w:before="120" w:after="0" w:line="240" w:lineRule="auto"/>
      <w:ind w:firstLine="482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bod">
    <w:name w:val="bod"/>
    <w:basedOn w:val="slovanseznam2"/>
    <w:rsid w:val="00B9371D"/>
    <w:pPr>
      <w:tabs>
        <w:tab w:val="clear" w:pos="360"/>
        <w:tab w:val="left" w:pos="357"/>
      </w:tabs>
      <w:spacing w:after="0" w:line="240" w:lineRule="auto"/>
      <w:ind w:left="714" w:hanging="357"/>
      <w:contextualSpacing w:val="0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psmeno">
    <w:name w:val="písmeno"/>
    <w:basedOn w:val="slovanseznam"/>
    <w:rsid w:val="00B9371D"/>
    <w:pPr>
      <w:tabs>
        <w:tab w:val="clear" w:pos="360"/>
        <w:tab w:val="left" w:pos="357"/>
      </w:tabs>
      <w:spacing w:after="0" w:line="240" w:lineRule="auto"/>
      <w:ind w:left="357" w:hanging="357"/>
      <w:contextualSpacing w:val="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slovanseznam2">
    <w:name w:val="List Number 2"/>
    <w:basedOn w:val="Normln"/>
    <w:uiPriority w:val="99"/>
    <w:semiHidden/>
    <w:unhideWhenUsed/>
    <w:rsid w:val="00B9371D"/>
    <w:pPr>
      <w:tabs>
        <w:tab w:val="num" w:pos="360"/>
      </w:tabs>
      <w:contextualSpacing/>
    </w:pPr>
  </w:style>
  <w:style w:type="paragraph" w:styleId="slovanseznam">
    <w:name w:val="List Number"/>
    <w:basedOn w:val="Normln"/>
    <w:uiPriority w:val="99"/>
    <w:semiHidden/>
    <w:unhideWhenUsed/>
    <w:rsid w:val="00B9371D"/>
    <w:pPr>
      <w:tabs>
        <w:tab w:val="num" w:pos="360"/>
      </w:tabs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7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2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8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8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7</cp:revision>
  <dcterms:created xsi:type="dcterms:W3CDTF">2015-03-13T15:25:00Z</dcterms:created>
  <dcterms:modified xsi:type="dcterms:W3CDTF">2015-03-16T07:26:00Z</dcterms:modified>
</cp:coreProperties>
</file>