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F" w:rsidRDefault="002D030F" w:rsidP="00B848FC"/>
    <w:p w:rsidR="00536A7B" w:rsidRPr="00C87097" w:rsidRDefault="00536A7B" w:rsidP="005D427C">
      <w:pPr>
        <w:spacing w:after="0" w:line="240" w:lineRule="auto"/>
        <w:jc w:val="both"/>
        <w:rPr>
          <w:b/>
          <w:sz w:val="24"/>
          <w:szCs w:val="24"/>
        </w:rPr>
      </w:pPr>
    </w:p>
    <w:p w:rsidR="00DF67B8" w:rsidRPr="00DF67B8" w:rsidRDefault="00363282" w:rsidP="00DF67B8">
      <w:pPr>
        <w:spacing w:after="0" w:line="240" w:lineRule="auto"/>
        <w:jc w:val="center"/>
        <w:rPr>
          <w:b/>
          <w:sz w:val="28"/>
          <w:szCs w:val="28"/>
        </w:rPr>
      </w:pPr>
      <w:r w:rsidRPr="00DF67B8">
        <w:rPr>
          <w:b/>
          <w:sz w:val="28"/>
          <w:szCs w:val="28"/>
        </w:rPr>
        <w:t>Stanovisko</w:t>
      </w:r>
      <w:r w:rsidR="006D36CD" w:rsidRPr="00DF67B8">
        <w:rPr>
          <w:b/>
          <w:sz w:val="28"/>
          <w:szCs w:val="28"/>
        </w:rPr>
        <w:t xml:space="preserve"> </w:t>
      </w:r>
      <w:r w:rsidR="000F4381" w:rsidRPr="00DF67B8">
        <w:rPr>
          <w:b/>
          <w:sz w:val="28"/>
          <w:szCs w:val="28"/>
        </w:rPr>
        <w:t xml:space="preserve">ČPS </w:t>
      </w:r>
      <w:r w:rsidR="006D36CD" w:rsidRPr="00DF67B8">
        <w:rPr>
          <w:b/>
          <w:sz w:val="28"/>
          <w:szCs w:val="28"/>
        </w:rPr>
        <w:t>k</w:t>
      </w:r>
      <w:r w:rsidR="000F4381" w:rsidRPr="00DF67B8">
        <w:rPr>
          <w:b/>
          <w:sz w:val="28"/>
          <w:szCs w:val="28"/>
        </w:rPr>
        <w:t xml:space="preserve"> návrhu </w:t>
      </w:r>
      <w:r w:rsidR="00DF67B8" w:rsidRPr="00DF67B8">
        <w:rPr>
          <w:b/>
          <w:sz w:val="28"/>
          <w:szCs w:val="28"/>
        </w:rPr>
        <w:t>materiálu Surovinová politika České republiky v</w:t>
      </w:r>
      <w:r w:rsidR="008B50C2">
        <w:rPr>
          <w:b/>
          <w:sz w:val="28"/>
          <w:szCs w:val="28"/>
        </w:rPr>
        <w:t> </w:t>
      </w:r>
      <w:r w:rsidR="00DF67B8" w:rsidRPr="00DF67B8">
        <w:rPr>
          <w:b/>
          <w:sz w:val="28"/>
          <w:szCs w:val="28"/>
        </w:rPr>
        <w:t>oblasti nerostných surovin a jejich zdrojů</w:t>
      </w:r>
    </w:p>
    <w:p w:rsidR="00536A7B" w:rsidRPr="00C87097" w:rsidRDefault="00536A7B" w:rsidP="00774889">
      <w:pPr>
        <w:spacing w:after="0" w:line="240" w:lineRule="auto"/>
        <w:jc w:val="center"/>
        <w:rPr>
          <w:b/>
          <w:sz w:val="24"/>
          <w:szCs w:val="24"/>
        </w:rPr>
      </w:pP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 xml:space="preserve">Předkládaný materiál navazuje především na Surovinovou politiku </w:t>
      </w:r>
      <w:r w:rsidR="00AB123E">
        <w:rPr>
          <w:iCs/>
          <w:sz w:val="24"/>
          <w:szCs w:val="24"/>
        </w:rPr>
        <w:t>(SP) zpracovanou v </w:t>
      </w:r>
      <w:r w:rsidRPr="00DF67B8">
        <w:rPr>
          <w:iCs/>
          <w:sz w:val="24"/>
          <w:szCs w:val="24"/>
        </w:rPr>
        <w:t xml:space="preserve">roce 1999 a materiál EU </w:t>
      </w:r>
      <w:proofErr w:type="spellStart"/>
      <w:r w:rsidRPr="00DF67B8">
        <w:rPr>
          <w:iCs/>
          <w:sz w:val="24"/>
          <w:szCs w:val="24"/>
        </w:rPr>
        <w:t>The</w:t>
      </w:r>
      <w:proofErr w:type="spellEnd"/>
      <w:r w:rsidRPr="00DF67B8">
        <w:rPr>
          <w:iCs/>
          <w:sz w:val="24"/>
          <w:szCs w:val="24"/>
        </w:rPr>
        <w:t xml:space="preserve"> </w:t>
      </w:r>
      <w:proofErr w:type="spellStart"/>
      <w:r w:rsidRPr="00DF67B8">
        <w:rPr>
          <w:iCs/>
          <w:sz w:val="24"/>
          <w:szCs w:val="24"/>
        </w:rPr>
        <w:t>Raw</w:t>
      </w:r>
      <w:proofErr w:type="spellEnd"/>
      <w:r w:rsidRPr="00DF67B8">
        <w:rPr>
          <w:iCs/>
          <w:sz w:val="24"/>
          <w:szCs w:val="24"/>
        </w:rPr>
        <w:t xml:space="preserve"> </w:t>
      </w:r>
      <w:proofErr w:type="spellStart"/>
      <w:r w:rsidRPr="00DF67B8">
        <w:rPr>
          <w:iCs/>
          <w:sz w:val="24"/>
          <w:szCs w:val="24"/>
        </w:rPr>
        <w:t>Materials</w:t>
      </w:r>
      <w:proofErr w:type="spellEnd"/>
      <w:r w:rsidRPr="00DF67B8">
        <w:rPr>
          <w:iCs/>
          <w:sz w:val="24"/>
          <w:szCs w:val="24"/>
        </w:rPr>
        <w:t xml:space="preserve"> </w:t>
      </w:r>
      <w:proofErr w:type="spellStart"/>
      <w:r w:rsidRPr="00DF67B8">
        <w:rPr>
          <w:iCs/>
          <w:sz w:val="24"/>
          <w:szCs w:val="24"/>
        </w:rPr>
        <w:t>Initiative</w:t>
      </w:r>
      <w:proofErr w:type="spellEnd"/>
      <w:r w:rsidRPr="00DF67B8">
        <w:rPr>
          <w:iCs/>
          <w:sz w:val="24"/>
          <w:szCs w:val="24"/>
        </w:rPr>
        <w:t xml:space="preserve"> z roku 2008 (a další materiály EU k</w:t>
      </w:r>
      <w:r w:rsidR="00AB123E">
        <w:rPr>
          <w:iCs/>
          <w:sz w:val="24"/>
          <w:szCs w:val="24"/>
        </w:rPr>
        <w:t> </w:t>
      </w:r>
      <w:r w:rsidRPr="00DF67B8">
        <w:rPr>
          <w:iCs/>
          <w:sz w:val="24"/>
          <w:szCs w:val="24"/>
        </w:rPr>
        <w:t>využívání nerostných surovin). Byl připravován několik let a široce diskutován s odbornou veřejností. Jeho předložení na jednání vlády vždy narazilo na stanovisko k limitům těžby hnědého uhlí v Ústeckém kraji (usnesení vlády č. 444 z roku 1991).</w:t>
      </w: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Český plynárenský svaz</w:t>
      </w:r>
      <w:r w:rsidR="00AB123E">
        <w:rPr>
          <w:iCs/>
          <w:sz w:val="24"/>
          <w:szCs w:val="24"/>
        </w:rPr>
        <w:t xml:space="preserve"> (ČP</w:t>
      </w:r>
      <w:r w:rsidR="00CD0BC8">
        <w:rPr>
          <w:iCs/>
          <w:sz w:val="24"/>
          <w:szCs w:val="24"/>
        </w:rPr>
        <w:t>S</w:t>
      </w:r>
      <w:r w:rsidR="00AB123E">
        <w:rPr>
          <w:iCs/>
          <w:sz w:val="24"/>
          <w:szCs w:val="24"/>
        </w:rPr>
        <w:t>)</w:t>
      </w:r>
      <w:r w:rsidRPr="00DF67B8">
        <w:rPr>
          <w:iCs/>
          <w:sz w:val="24"/>
          <w:szCs w:val="24"/>
        </w:rPr>
        <w:t>, jako propagátor užití plynných paliv, které představují třetí nejvýznamnější energetický zdroj využívaný v ČR, se ve svém stanovisku k návrhu Surovinové politiky zaměří především na část palivoenergetických surovin.</w:t>
      </w: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Obáváme se, že veškerá diskuse se opět soustředí pouze na problematiku prolomení limitů těžby hnědého uhlí</w:t>
      </w:r>
      <w:r w:rsidR="00AB123E">
        <w:rPr>
          <w:iCs/>
          <w:sz w:val="24"/>
          <w:szCs w:val="24"/>
        </w:rPr>
        <w:t>,</w:t>
      </w:r>
      <w:r w:rsidRPr="00DF67B8">
        <w:rPr>
          <w:iCs/>
          <w:sz w:val="24"/>
          <w:szCs w:val="24"/>
        </w:rPr>
        <w:t xml:space="preserve"> popřípadě ještě na pokračování těžby uranových rud</w:t>
      </w:r>
      <w:r w:rsidR="00AB123E">
        <w:rPr>
          <w:iCs/>
          <w:sz w:val="24"/>
          <w:szCs w:val="24"/>
        </w:rPr>
        <w:t>,</w:t>
      </w:r>
      <w:r w:rsidRPr="00DF67B8">
        <w:rPr>
          <w:iCs/>
          <w:sz w:val="24"/>
          <w:szCs w:val="24"/>
        </w:rPr>
        <w:t xml:space="preserve"> a ostatní části surovinové politiky zůstanou stranou.</w:t>
      </w: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ČPS souhlasí s</w:t>
      </w:r>
      <w:r>
        <w:rPr>
          <w:iCs/>
          <w:sz w:val="24"/>
          <w:szCs w:val="24"/>
        </w:rPr>
        <w:t> </w:t>
      </w:r>
      <w:r w:rsidRPr="00DF67B8">
        <w:rPr>
          <w:iCs/>
          <w:sz w:val="24"/>
          <w:szCs w:val="24"/>
        </w:rPr>
        <w:t>východisky</w:t>
      </w:r>
      <w:r>
        <w:rPr>
          <w:iCs/>
          <w:sz w:val="24"/>
          <w:szCs w:val="24"/>
        </w:rPr>
        <w:t xml:space="preserve"> návrhu</w:t>
      </w:r>
      <w:r w:rsidRPr="00DF67B8">
        <w:rPr>
          <w:iCs/>
          <w:sz w:val="24"/>
          <w:szCs w:val="24"/>
        </w:rPr>
        <w:t>, kter</w:t>
      </w:r>
      <w:r w:rsidR="00AB123E">
        <w:rPr>
          <w:iCs/>
          <w:sz w:val="24"/>
          <w:szCs w:val="24"/>
        </w:rPr>
        <w:t xml:space="preserve">á </w:t>
      </w:r>
      <w:r w:rsidRPr="00DF67B8">
        <w:rPr>
          <w:iCs/>
          <w:sz w:val="24"/>
          <w:szCs w:val="24"/>
        </w:rPr>
        <w:t xml:space="preserve">však navrhuje rozšířit o </w:t>
      </w:r>
      <w:r w:rsidR="00AB123E">
        <w:rPr>
          <w:iCs/>
          <w:sz w:val="24"/>
          <w:szCs w:val="24"/>
        </w:rPr>
        <w:t xml:space="preserve">vliv </w:t>
      </w:r>
      <w:r w:rsidRPr="00DF67B8">
        <w:rPr>
          <w:iCs/>
          <w:sz w:val="24"/>
          <w:szCs w:val="24"/>
        </w:rPr>
        <w:t>další</w:t>
      </w:r>
      <w:r w:rsidR="00AB123E">
        <w:rPr>
          <w:iCs/>
          <w:sz w:val="24"/>
          <w:szCs w:val="24"/>
        </w:rPr>
        <w:t>ch</w:t>
      </w:r>
      <w:r w:rsidRPr="00DF67B8">
        <w:rPr>
          <w:iCs/>
          <w:sz w:val="24"/>
          <w:szCs w:val="24"/>
        </w:rPr>
        <w:t xml:space="preserve"> strategick</w:t>
      </w:r>
      <w:r w:rsidR="00AB123E">
        <w:rPr>
          <w:iCs/>
          <w:sz w:val="24"/>
          <w:szCs w:val="24"/>
        </w:rPr>
        <w:t>ých</w:t>
      </w:r>
      <w:r w:rsidRPr="00DF67B8">
        <w:rPr>
          <w:iCs/>
          <w:sz w:val="24"/>
          <w:szCs w:val="24"/>
        </w:rPr>
        <w:t xml:space="preserve"> materiál</w:t>
      </w:r>
      <w:r w:rsidR="00AB123E">
        <w:rPr>
          <w:iCs/>
          <w:sz w:val="24"/>
          <w:szCs w:val="24"/>
        </w:rPr>
        <w:t>ů</w:t>
      </w:r>
      <w:r w:rsidRPr="00DF67B8">
        <w:rPr>
          <w:iCs/>
          <w:sz w:val="24"/>
          <w:szCs w:val="24"/>
        </w:rPr>
        <w:t>, jako např. Strategie konkurenceschopnosti ČR, Nár</w:t>
      </w:r>
      <w:r w:rsidR="008B50C2">
        <w:rPr>
          <w:iCs/>
          <w:sz w:val="24"/>
          <w:szCs w:val="24"/>
        </w:rPr>
        <w:t>odní politiku výzkumu, vývoje a </w:t>
      </w:r>
      <w:r w:rsidRPr="00DF67B8">
        <w:rPr>
          <w:iCs/>
          <w:sz w:val="24"/>
          <w:szCs w:val="24"/>
        </w:rPr>
        <w:t>inovací, Strategii hospodářského růstu České republiky, Národní inovační strategii, Strategii vzdělávání pro udržitelný rozvoj ČR a další strategie a koncepce se širším úhlem pohledu se zaměřením na využívání nerostných surovin a dále pak o va</w:t>
      </w:r>
      <w:r w:rsidR="008B50C2">
        <w:rPr>
          <w:iCs/>
          <w:sz w:val="24"/>
          <w:szCs w:val="24"/>
        </w:rPr>
        <w:t>zbu na mezinárodní závazky ČR v </w:t>
      </w:r>
      <w:r w:rsidRPr="00DF67B8">
        <w:rPr>
          <w:iCs/>
          <w:sz w:val="24"/>
          <w:szCs w:val="24"/>
        </w:rPr>
        <w:t xml:space="preserve">oblasti ochrany ovzduší, úspor energie, zvyšování </w:t>
      </w:r>
      <w:r>
        <w:rPr>
          <w:iCs/>
          <w:sz w:val="24"/>
          <w:szCs w:val="24"/>
        </w:rPr>
        <w:t xml:space="preserve">energetické </w:t>
      </w:r>
      <w:r w:rsidRPr="00DF67B8">
        <w:rPr>
          <w:iCs/>
          <w:sz w:val="24"/>
          <w:szCs w:val="24"/>
        </w:rPr>
        <w:t>účinnosti, produkce skleníkových plynů, zdraví apod.</w:t>
      </w:r>
      <w:r>
        <w:rPr>
          <w:iCs/>
          <w:sz w:val="24"/>
          <w:szCs w:val="24"/>
        </w:rPr>
        <w:t xml:space="preserve"> </w:t>
      </w:r>
      <w:r w:rsidR="00AB123E">
        <w:rPr>
          <w:iCs/>
          <w:sz w:val="24"/>
          <w:szCs w:val="24"/>
        </w:rPr>
        <w:t xml:space="preserve">Podporujeme </w:t>
      </w:r>
      <w:r w:rsidRPr="00DF67B8">
        <w:rPr>
          <w:iCs/>
          <w:sz w:val="24"/>
          <w:szCs w:val="24"/>
        </w:rPr>
        <w:t>důraz na ekonomiku a rentabilitu využívání zdrojů s ohledem na ochranu životního prostředí.</w:t>
      </w:r>
    </w:p>
    <w:p w:rsidR="00DF67B8" w:rsidRP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Návrh SP obsahuje bohatý výčet východisek a proklamací, postrádáme však širší celospolečenské ukotvení a popis doprovodných a navazujících opatření, bez jejichž stanovení je tak zásadní rozhodnutí jako prolomení územně ekologických limitů nepředstavitelné.</w:t>
      </w:r>
    </w:p>
    <w:p w:rsidR="00DF67B8" w:rsidRP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Nelze než souhlasit s tvrzením,</w:t>
      </w:r>
      <w:r w:rsidR="00AB123E">
        <w:rPr>
          <w:iCs/>
          <w:sz w:val="24"/>
          <w:szCs w:val="24"/>
        </w:rPr>
        <w:t xml:space="preserve"> </w:t>
      </w:r>
      <w:r w:rsidRPr="00DF67B8">
        <w:rPr>
          <w:iCs/>
          <w:sz w:val="24"/>
          <w:szCs w:val="24"/>
        </w:rPr>
        <w:t>že SP by měla vycházet ze „širok</w:t>
      </w:r>
      <w:r w:rsidR="00AB123E">
        <w:rPr>
          <w:iCs/>
          <w:sz w:val="24"/>
          <w:szCs w:val="24"/>
        </w:rPr>
        <w:t>é</w:t>
      </w:r>
      <w:r w:rsidRPr="00DF67B8">
        <w:rPr>
          <w:iCs/>
          <w:sz w:val="24"/>
          <w:szCs w:val="24"/>
        </w:rPr>
        <w:t xml:space="preserve"> a konsensuální společensk</w:t>
      </w:r>
      <w:r w:rsidR="00AB123E">
        <w:rPr>
          <w:iCs/>
          <w:sz w:val="24"/>
          <w:szCs w:val="24"/>
        </w:rPr>
        <w:t>é</w:t>
      </w:r>
      <w:r w:rsidRPr="00DF67B8">
        <w:rPr>
          <w:iCs/>
          <w:sz w:val="24"/>
          <w:szCs w:val="24"/>
        </w:rPr>
        <w:t xml:space="preserve"> akceptace využívání domácích nerostných surovin“. Ať už ve smyslu zachování sociálního smíru a zaměstnanosti v hornických regionech, </w:t>
      </w:r>
      <w:r w:rsidR="00AB123E">
        <w:rPr>
          <w:iCs/>
          <w:sz w:val="24"/>
          <w:szCs w:val="24"/>
        </w:rPr>
        <w:t xml:space="preserve">tak </w:t>
      </w:r>
      <w:r w:rsidRPr="00DF67B8">
        <w:rPr>
          <w:iCs/>
          <w:sz w:val="24"/>
          <w:szCs w:val="24"/>
        </w:rPr>
        <w:t>i potřebnost</w:t>
      </w:r>
      <w:r w:rsidR="00AB123E">
        <w:rPr>
          <w:iCs/>
          <w:sz w:val="24"/>
          <w:szCs w:val="24"/>
        </w:rPr>
        <w:t>i</w:t>
      </w:r>
      <w:r w:rsidRPr="00DF67B8">
        <w:rPr>
          <w:iCs/>
          <w:sz w:val="24"/>
          <w:szCs w:val="24"/>
        </w:rPr>
        <w:t xml:space="preserve"> na straně </w:t>
      </w:r>
      <w:r w:rsidR="00AB123E">
        <w:rPr>
          <w:iCs/>
          <w:sz w:val="24"/>
          <w:szCs w:val="24"/>
        </w:rPr>
        <w:t xml:space="preserve">konečných </w:t>
      </w:r>
      <w:r w:rsidRPr="00DF67B8">
        <w:rPr>
          <w:iCs/>
          <w:sz w:val="24"/>
          <w:szCs w:val="24"/>
        </w:rPr>
        <w:t xml:space="preserve">uživatelů. Společnost by měla být seznámena s náklady na prodloužení zaměstnanosti několika desítek tisíc horníků a navazujících profesí a na možnost užívání „levného“ tepla několika miliony obyvatel. Především však s dopady tohoto řešení na větší část „nezúčastněných“ obyvatel. Hlubšímu porozumění celé problematiky by přispěl popis multiplikačního efektu těžby palivoenergetických surovin na národní hospodářství, zmiňovaný v jednotlivých variantách prolomení limitů, který </w:t>
      </w:r>
      <w:r>
        <w:rPr>
          <w:iCs/>
          <w:sz w:val="24"/>
          <w:szCs w:val="24"/>
        </w:rPr>
        <w:t xml:space="preserve">však </w:t>
      </w:r>
      <w:r w:rsidRPr="00DF67B8">
        <w:rPr>
          <w:iCs/>
          <w:sz w:val="24"/>
          <w:szCs w:val="24"/>
        </w:rPr>
        <w:t>v pracovní verzi materiálu chybí.</w:t>
      </w:r>
    </w:p>
    <w:p w:rsidR="00DF67B8" w:rsidRP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Rozhodnutí o úpravě územně ekologických limitů by mělo předcházet zpracování detailního harmonogramu naplňování podmínek, za kterých by zvolená varianta byla akceptovatelná. Měl by být určen nezávislý orgán, který průběžně sledoval vývoj v oblasti energetiky, efektivity vlastní těžby, ekonomik</w:t>
      </w:r>
      <w:r w:rsidR="00AB123E">
        <w:rPr>
          <w:iCs/>
          <w:sz w:val="24"/>
          <w:szCs w:val="24"/>
        </w:rPr>
        <w:t>y</w:t>
      </w:r>
      <w:r w:rsidRPr="00DF67B8">
        <w:rPr>
          <w:iCs/>
          <w:sz w:val="24"/>
          <w:szCs w:val="24"/>
        </w:rPr>
        <w:t xml:space="preserve"> a rentabilit</w:t>
      </w:r>
      <w:r w:rsidR="00AB123E">
        <w:rPr>
          <w:iCs/>
          <w:sz w:val="24"/>
          <w:szCs w:val="24"/>
        </w:rPr>
        <w:t>y</w:t>
      </w:r>
      <w:r w:rsidRPr="00DF67B8">
        <w:rPr>
          <w:iCs/>
          <w:sz w:val="24"/>
          <w:szCs w:val="24"/>
        </w:rPr>
        <w:t xml:space="preserve"> využívání domácích zdrojů ve vztahu na světové ceny, popř. obnovitelné zdroje energie, objem a celospolečenské přínosy exportu vyrobené elektřiny, vývoj domácí a zahraniční poptávky, dosahování závazků účinnosti výroby a distribuce tepla a elektřiny, </w:t>
      </w:r>
      <w:r w:rsidR="00AB123E">
        <w:rPr>
          <w:iCs/>
          <w:sz w:val="24"/>
          <w:szCs w:val="24"/>
        </w:rPr>
        <w:t xml:space="preserve">sledoval </w:t>
      </w:r>
      <w:r w:rsidRPr="00DF67B8">
        <w:rPr>
          <w:iCs/>
          <w:sz w:val="24"/>
          <w:szCs w:val="24"/>
        </w:rPr>
        <w:t xml:space="preserve">určení, přiměřenost výše a využití </w:t>
      </w:r>
      <w:r w:rsidRPr="00DF67B8">
        <w:rPr>
          <w:iCs/>
          <w:sz w:val="24"/>
          <w:szCs w:val="24"/>
        </w:rPr>
        <w:lastRenderedPageBreak/>
        <w:t>poplatků z</w:t>
      </w:r>
      <w:r w:rsidR="00AB123E">
        <w:rPr>
          <w:iCs/>
          <w:sz w:val="24"/>
          <w:szCs w:val="24"/>
        </w:rPr>
        <w:t> </w:t>
      </w:r>
      <w:r w:rsidRPr="00DF67B8">
        <w:rPr>
          <w:iCs/>
          <w:sz w:val="24"/>
          <w:szCs w:val="24"/>
        </w:rPr>
        <w:t xml:space="preserve">těžby, vč. případných </w:t>
      </w:r>
      <w:r w:rsidR="00AB123E">
        <w:rPr>
          <w:iCs/>
          <w:sz w:val="24"/>
          <w:szCs w:val="24"/>
        </w:rPr>
        <w:t xml:space="preserve">úprav </w:t>
      </w:r>
      <w:r w:rsidRPr="00DF67B8">
        <w:rPr>
          <w:iCs/>
          <w:sz w:val="24"/>
          <w:szCs w:val="24"/>
        </w:rPr>
        <w:t>systému, nároky na rekultivace a mír</w:t>
      </w:r>
      <w:r w:rsidR="00AB123E">
        <w:rPr>
          <w:iCs/>
          <w:sz w:val="24"/>
          <w:szCs w:val="24"/>
        </w:rPr>
        <w:t>u</w:t>
      </w:r>
      <w:r w:rsidRPr="00DF67B8">
        <w:rPr>
          <w:iCs/>
          <w:sz w:val="24"/>
          <w:szCs w:val="24"/>
        </w:rPr>
        <w:t xml:space="preserve"> jejich krytí z</w:t>
      </w:r>
      <w:r w:rsidR="00AB123E">
        <w:rPr>
          <w:iCs/>
          <w:sz w:val="24"/>
          <w:szCs w:val="24"/>
        </w:rPr>
        <w:t> </w:t>
      </w:r>
      <w:r w:rsidRPr="00DF67B8">
        <w:rPr>
          <w:iCs/>
          <w:sz w:val="24"/>
          <w:szCs w:val="24"/>
        </w:rPr>
        <w:t>k</w:t>
      </w:r>
      <w:r w:rsidR="00AB123E">
        <w:rPr>
          <w:iCs/>
          <w:sz w:val="24"/>
          <w:szCs w:val="24"/>
        </w:rPr>
        <w:t> </w:t>
      </w:r>
      <w:r w:rsidRPr="00DF67B8">
        <w:rPr>
          <w:iCs/>
          <w:sz w:val="24"/>
          <w:szCs w:val="24"/>
        </w:rPr>
        <w:t>tomu určených fondů atd.</w:t>
      </w:r>
    </w:p>
    <w:p w:rsidR="00DF67B8" w:rsidRPr="00DF67B8" w:rsidRDefault="00DF67B8" w:rsidP="00DF67B8">
      <w:pPr>
        <w:spacing w:before="120" w:after="0" w:line="240" w:lineRule="auto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Konkrétní připomínky:</w:t>
      </w:r>
    </w:p>
    <w:p w:rsidR="00DF67B8" w:rsidRP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1.</w:t>
      </w:r>
      <w:r w:rsidRPr="00DF67B8">
        <w:rPr>
          <w:iCs/>
          <w:sz w:val="24"/>
          <w:szCs w:val="24"/>
        </w:rPr>
        <w:tab/>
        <w:t>str. 10 – základní vstupní předpoklady – udržení přija</w:t>
      </w:r>
      <w:r w:rsidR="00AB123E">
        <w:rPr>
          <w:iCs/>
          <w:sz w:val="24"/>
          <w:szCs w:val="24"/>
        </w:rPr>
        <w:t>telné míry dovozní závislosti v </w:t>
      </w:r>
      <w:r w:rsidRPr="00DF67B8">
        <w:rPr>
          <w:iCs/>
          <w:sz w:val="24"/>
          <w:szCs w:val="24"/>
        </w:rPr>
        <w:t>segmentu palivoenergetických surovin není možné zajistit zároveň s minimalizací dopadů využívání nerostných zdrojů na životní prostředí. Dovozní závislost na energetických zdrojích se zvyšuje i v</w:t>
      </w:r>
      <w:r>
        <w:rPr>
          <w:iCs/>
          <w:sz w:val="24"/>
          <w:szCs w:val="24"/>
        </w:rPr>
        <w:t xml:space="preserve"> návrhu </w:t>
      </w:r>
      <w:r w:rsidRPr="00DF67B8">
        <w:rPr>
          <w:iCs/>
          <w:sz w:val="24"/>
          <w:szCs w:val="24"/>
        </w:rPr>
        <w:t>ASEK, zejména k časovému horizontu roku 2040.</w:t>
      </w:r>
    </w:p>
    <w:p w:rsidR="00DF67B8" w:rsidRP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2.</w:t>
      </w:r>
      <w:r w:rsidRPr="00DF67B8">
        <w:rPr>
          <w:iCs/>
          <w:sz w:val="24"/>
          <w:szCs w:val="24"/>
        </w:rPr>
        <w:tab/>
        <w:t>kapitola 3.2.1 Záměry v oblasti energetických surovin – preferovat dodávky hnědého uhlí pro zdroje centralizovaného tepla, přednostně využívat hnědé uhlí v kombinované výrobě elektřiny a tepla – není nám známo jaké má stát nástroje na uskutečnění těchto záměrů. Všechny zdroje výroby elektřiny a tepla z hnědého uhlí budou mít v relativně krátké době potíže se splněním limitů emisí ze strany EU.</w:t>
      </w:r>
      <w:r w:rsidR="00B848FC">
        <w:rPr>
          <w:iCs/>
          <w:sz w:val="24"/>
          <w:szCs w:val="24"/>
        </w:rPr>
        <w:t xml:space="preserve"> V současné době Evropská unie připravuje směrnici o středních zdrojích (1-50 MW), která stanovuje přísné limity především pro emise SO2, které jsou pro uhlí těžko splnitelné.</w:t>
      </w:r>
      <w:r w:rsidR="00B35506">
        <w:rPr>
          <w:iCs/>
          <w:sz w:val="24"/>
          <w:szCs w:val="24"/>
        </w:rPr>
        <w:t xml:space="preserve"> Zároveň v roce 2023 končí výjimka pro velké teplárny (nad 50 MW), která jim umožňuje neplnit evropské </w:t>
      </w:r>
      <w:proofErr w:type="spellStart"/>
      <w:r w:rsidR="00B35506">
        <w:rPr>
          <w:iCs/>
          <w:sz w:val="24"/>
          <w:szCs w:val="24"/>
        </w:rPr>
        <w:t>desulfurizační</w:t>
      </w:r>
      <w:proofErr w:type="spellEnd"/>
      <w:r w:rsidR="00B35506">
        <w:rPr>
          <w:iCs/>
          <w:sz w:val="24"/>
          <w:szCs w:val="24"/>
        </w:rPr>
        <w:t xml:space="preserve"> limity.</w:t>
      </w:r>
    </w:p>
    <w:p w:rsidR="00DF67B8" w:rsidRP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3.</w:t>
      </w:r>
      <w:r w:rsidRPr="00DF67B8">
        <w:rPr>
          <w:iCs/>
          <w:sz w:val="24"/>
          <w:szCs w:val="24"/>
        </w:rPr>
        <w:tab/>
        <w:t>kapitola 3.2.1 (chyba číslování)</w:t>
      </w:r>
      <w:r w:rsidR="00AB123E">
        <w:rPr>
          <w:iCs/>
          <w:sz w:val="24"/>
          <w:szCs w:val="24"/>
        </w:rPr>
        <w:t xml:space="preserve"> </w:t>
      </w:r>
      <w:r w:rsidRPr="00DF67B8">
        <w:rPr>
          <w:iCs/>
          <w:sz w:val="24"/>
          <w:szCs w:val="24"/>
        </w:rPr>
        <w:t>Záměry v oblasti Územně ekologických limitů – není příliš zdůvodněn výběr preferované varianty prolomení limitů těžby na dole Bílina a neexistuje žádné ekonomické porovnání jednotlivých navrhovaných variant.</w:t>
      </w:r>
    </w:p>
    <w:p w:rsidR="00DF67B8" w:rsidRP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4.</w:t>
      </w:r>
      <w:r w:rsidRPr="00DF67B8">
        <w:rPr>
          <w:iCs/>
          <w:sz w:val="24"/>
          <w:szCs w:val="24"/>
        </w:rPr>
        <w:tab/>
        <w:t xml:space="preserve">kapitola 3.2.2. Záměry v oblasti těžby a úpravy uranu – opět neexistuje žádné ekonomické porovnání efektivity další těžby uranových rud v porovnání s dovozem, ČR je v každém případě schopna vyrobit pouze </w:t>
      </w:r>
      <w:r w:rsidR="00AB123E">
        <w:rPr>
          <w:iCs/>
          <w:sz w:val="24"/>
          <w:szCs w:val="24"/>
        </w:rPr>
        <w:t xml:space="preserve">tzv. </w:t>
      </w:r>
      <w:r w:rsidRPr="00DF67B8">
        <w:rPr>
          <w:iCs/>
          <w:sz w:val="24"/>
          <w:szCs w:val="24"/>
        </w:rPr>
        <w:t>žlutý koláč (obohacený uran) a nikoliv palivové články pro jaderné elektrárny.</w:t>
      </w:r>
    </w:p>
    <w:p w:rsidR="00DF67B8" w:rsidRP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5.</w:t>
      </w:r>
      <w:r w:rsidRPr="00DF67B8">
        <w:rPr>
          <w:iCs/>
          <w:sz w:val="24"/>
          <w:szCs w:val="24"/>
        </w:rPr>
        <w:tab/>
        <w:t>kapitola 3.3.3. Klíčové výstupy SWOT analýzy – Slabé stránky – Stát nemá kontrolu nad přepravou plynu – stát nemá kontrolu (vlastnickou) nad mnoha jinými částmi energetiky například nad těžbou uhlí což není zdůrazněno. Ohrožení – Problémy teplárenských systémů při nedostatku hnědého uhlí na domácím trhu – na tuto situaci mělo teplárenství možnost se dlouhodobě připravovat.</w:t>
      </w:r>
    </w:p>
    <w:p w:rsidR="00DF67B8" w:rsidRDefault="00DF67B8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>6.</w:t>
      </w:r>
      <w:r w:rsidRPr="00DF67B8">
        <w:rPr>
          <w:iCs/>
          <w:sz w:val="24"/>
          <w:szCs w:val="24"/>
        </w:rPr>
        <w:tab/>
        <w:t xml:space="preserve">kapitola 4.1. Strategické cíle Bezpečnost dodávek měřená těmito parametry – </w:t>
      </w:r>
      <w:r w:rsidR="00AB123E">
        <w:rPr>
          <w:iCs/>
          <w:sz w:val="24"/>
          <w:szCs w:val="24"/>
        </w:rPr>
        <w:t xml:space="preserve">je sporné, zda toto hodnocení </w:t>
      </w:r>
      <w:r w:rsidRPr="00DF67B8">
        <w:rPr>
          <w:iCs/>
          <w:sz w:val="24"/>
          <w:szCs w:val="24"/>
        </w:rPr>
        <w:t xml:space="preserve">patří do surovinové politiky, </w:t>
      </w:r>
      <w:r w:rsidR="00AB123E">
        <w:rPr>
          <w:iCs/>
          <w:sz w:val="24"/>
          <w:szCs w:val="24"/>
        </w:rPr>
        <w:t xml:space="preserve">vhodnější by byla </w:t>
      </w:r>
      <w:r w:rsidRPr="00DF67B8">
        <w:rPr>
          <w:iCs/>
          <w:sz w:val="24"/>
          <w:szCs w:val="24"/>
        </w:rPr>
        <w:t>ASEK. To platí pro podkapitolu Konkurenceschopnost měřená těmito parametry.</w:t>
      </w:r>
    </w:p>
    <w:p w:rsidR="00B35506" w:rsidRDefault="00B35506" w:rsidP="00AB123E">
      <w:pPr>
        <w:tabs>
          <w:tab w:val="left" w:pos="284"/>
        </w:tabs>
        <w:spacing w:after="0" w:line="240" w:lineRule="auto"/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Předkládaný návrh uvádí jako strategický cíl diverzifikaci zdrojových teritorií surovin – v případě ropy a zemního plynu minimální podíl nedominantního zdroje 25%. Chybí však zdůvodnění, jak bylo toto číslo určeno. Bez ohledu na jeho hodnotu je však nutné poukázat na fakt, že původ zemního plynu nakupovaného na spotovém trhu nelze prokázat. Vzhledem k úzké provázanosti německého a české</w:t>
      </w:r>
      <w:r w:rsidR="00971C0F">
        <w:rPr>
          <w:iCs/>
          <w:sz w:val="24"/>
          <w:szCs w:val="24"/>
        </w:rPr>
        <w:t>ho</w:t>
      </w:r>
      <w:r>
        <w:rPr>
          <w:iCs/>
          <w:sz w:val="24"/>
          <w:szCs w:val="24"/>
        </w:rPr>
        <w:t xml:space="preserve"> trhu, přičemž většina zemního plynu teče z Německa do Česka</w:t>
      </w:r>
      <w:r w:rsidR="00971C0F">
        <w:rPr>
          <w:iCs/>
          <w:sz w:val="24"/>
          <w:szCs w:val="24"/>
        </w:rPr>
        <w:t xml:space="preserve"> a demonstruje tak fungující vnitřní energetický trh EU, poukazuje na to, že se jedná o zastaralý pohled, který je navíc neslučitelný s praxí na evropském trhu.</w:t>
      </w: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</w:p>
    <w:p w:rsidR="00DF67B8" w:rsidRP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 xml:space="preserve">Materiál se k podložení svých závěrů odvolává na materiál Státní energetická koncepce, která je však ve fázi přípravy, navíc deklarovaný rozvoj jaderné energetiky lze </w:t>
      </w:r>
      <w:r>
        <w:rPr>
          <w:iCs/>
          <w:sz w:val="24"/>
          <w:szCs w:val="24"/>
        </w:rPr>
        <w:t xml:space="preserve">za stávajících ekonomických podmínek stěží </w:t>
      </w:r>
      <w:r w:rsidRPr="00DF67B8">
        <w:rPr>
          <w:iCs/>
          <w:sz w:val="24"/>
          <w:szCs w:val="24"/>
        </w:rPr>
        <w:t>předpokládat.</w:t>
      </w:r>
    </w:p>
    <w:p w:rsidR="00DF67B8" w:rsidRPr="00CD0BC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CD0BC8">
        <w:rPr>
          <w:iCs/>
          <w:sz w:val="24"/>
          <w:szCs w:val="24"/>
        </w:rPr>
        <w:t xml:space="preserve">Z pohledu plynárenství je ve zjevném rozporu tvrzení o podpoře maximálního využívání nových a moderních průzkumných, dobývacích i zpracovatelských metod, vč. deklarování zájmu státu na geologické </w:t>
      </w:r>
      <w:proofErr w:type="spellStart"/>
      <w:r w:rsidRPr="00CD0BC8">
        <w:rPr>
          <w:iCs/>
          <w:sz w:val="24"/>
          <w:szCs w:val="24"/>
        </w:rPr>
        <w:t>prozkoumanosti</w:t>
      </w:r>
      <w:proofErr w:type="spellEnd"/>
      <w:r w:rsidRPr="00CD0BC8">
        <w:rPr>
          <w:iCs/>
          <w:sz w:val="24"/>
          <w:szCs w:val="24"/>
        </w:rPr>
        <w:t xml:space="preserve"> území a dalším zpřesňování informací o domácím nerostném surovinovém potenciálu, </w:t>
      </w:r>
      <w:r w:rsidR="000B0C2D" w:rsidRPr="00CD0BC8">
        <w:rPr>
          <w:iCs/>
          <w:sz w:val="24"/>
          <w:szCs w:val="24"/>
        </w:rPr>
        <w:t xml:space="preserve">za současného </w:t>
      </w:r>
      <w:r w:rsidRPr="00CD0BC8">
        <w:rPr>
          <w:iCs/>
          <w:sz w:val="24"/>
          <w:szCs w:val="24"/>
        </w:rPr>
        <w:t>zákazu průzkumu těžby nekonvenční suroviny (např. tzv. břidličného plynu) v podmínkách ČR a současném konstatování neznalosti potenciálu nekonvenčních palivoenergetických surovin v ČR.</w:t>
      </w:r>
    </w:p>
    <w:p w:rsidR="008355B2" w:rsidRDefault="008355B2" w:rsidP="008355B2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Návrh SP</w:t>
      </w:r>
      <w:r w:rsidRPr="008355B2">
        <w:rPr>
          <w:iCs/>
          <w:sz w:val="24"/>
          <w:szCs w:val="24"/>
        </w:rPr>
        <w:t xml:space="preserve"> v mnoha případech spíše odkazuje na nutnost zpracování nových legislativních nástrojů v oblasti horního práva a dalších oblastech legislativy než, aby bylo navrženo alespoň rámcové řešení existujících problémů.</w:t>
      </w:r>
    </w:p>
    <w:p w:rsidR="00DF67B8" w:rsidRDefault="00DF67B8" w:rsidP="00DF67B8">
      <w:pPr>
        <w:spacing w:before="120" w:after="0" w:line="240" w:lineRule="auto"/>
        <w:ind w:firstLine="284"/>
        <w:jc w:val="both"/>
        <w:rPr>
          <w:iCs/>
          <w:sz w:val="24"/>
          <w:szCs w:val="24"/>
        </w:rPr>
      </w:pPr>
      <w:r w:rsidRPr="00DF67B8">
        <w:rPr>
          <w:iCs/>
          <w:sz w:val="24"/>
          <w:szCs w:val="24"/>
        </w:rPr>
        <w:t xml:space="preserve">V současnosti probíhá </w:t>
      </w:r>
      <w:r>
        <w:rPr>
          <w:iCs/>
          <w:sz w:val="24"/>
          <w:szCs w:val="24"/>
        </w:rPr>
        <w:t xml:space="preserve">v ČR </w:t>
      </w:r>
      <w:r w:rsidRPr="00DF67B8">
        <w:rPr>
          <w:iCs/>
          <w:sz w:val="24"/>
          <w:szCs w:val="24"/>
        </w:rPr>
        <w:t xml:space="preserve">chaotické </w:t>
      </w:r>
      <w:r>
        <w:rPr>
          <w:iCs/>
          <w:sz w:val="24"/>
          <w:szCs w:val="24"/>
        </w:rPr>
        <w:t xml:space="preserve">schvalování několika </w:t>
      </w:r>
      <w:r w:rsidRPr="00DF67B8">
        <w:rPr>
          <w:iCs/>
          <w:sz w:val="24"/>
          <w:szCs w:val="24"/>
        </w:rPr>
        <w:t xml:space="preserve">(dlouhodobě odkládaných) zásadních koncepčních dokumentů </w:t>
      </w:r>
      <w:r>
        <w:rPr>
          <w:iCs/>
          <w:sz w:val="24"/>
          <w:szCs w:val="24"/>
        </w:rPr>
        <w:t xml:space="preserve">usilujících o popis </w:t>
      </w:r>
      <w:r w:rsidRPr="00DF67B8">
        <w:rPr>
          <w:iCs/>
          <w:sz w:val="24"/>
          <w:szCs w:val="24"/>
        </w:rPr>
        <w:t>budoucnost</w:t>
      </w:r>
      <w:r>
        <w:rPr>
          <w:iCs/>
          <w:sz w:val="24"/>
          <w:szCs w:val="24"/>
        </w:rPr>
        <w:t>i ČR</w:t>
      </w:r>
      <w:r w:rsidRPr="00DF67B8">
        <w:rPr>
          <w:iCs/>
          <w:sz w:val="24"/>
          <w:szCs w:val="24"/>
        </w:rPr>
        <w:t xml:space="preserve">. Bohužel se stále </w:t>
      </w:r>
      <w:bookmarkStart w:id="0" w:name="_GoBack"/>
      <w:bookmarkEnd w:id="0"/>
      <w:r w:rsidRPr="00DF67B8">
        <w:rPr>
          <w:iCs/>
          <w:sz w:val="24"/>
          <w:szCs w:val="24"/>
        </w:rPr>
        <w:t>ukazuje, že zpracované vize neustále naráží na realitu a těžko odhadnutelný vývoj. Považujeme za přínosnější rezignovat ze strany státu na vytyčování cest</w:t>
      </w:r>
      <w:r>
        <w:rPr>
          <w:iCs/>
          <w:sz w:val="24"/>
          <w:szCs w:val="24"/>
        </w:rPr>
        <w:t>, po</w:t>
      </w:r>
      <w:r w:rsidRPr="00DF67B8">
        <w:rPr>
          <w:iCs/>
          <w:sz w:val="24"/>
          <w:szCs w:val="24"/>
        </w:rPr>
        <w:t xml:space="preserve">nechat </w:t>
      </w:r>
      <w:r>
        <w:rPr>
          <w:iCs/>
          <w:sz w:val="24"/>
          <w:szCs w:val="24"/>
        </w:rPr>
        <w:t>jejich hledání na přirozeném, nejlépe tržnímu vývoji</w:t>
      </w:r>
      <w:r w:rsidRPr="00DF67B8">
        <w:rPr>
          <w:iCs/>
          <w:sz w:val="24"/>
          <w:szCs w:val="24"/>
        </w:rPr>
        <w:t xml:space="preserve"> a soustředit se na popis prostředí v jakém by většina společnosti chtěla v nadcházejících letech žít. SP </w:t>
      </w:r>
      <w:r>
        <w:rPr>
          <w:iCs/>
          <w:sz w:val="24"/>
          <w:szCs w:val="24"/>
        </w:rPr>
        <w:t xml:space="preserve">přináší chvályhodný výčet </w:t>
      </w:r>
      <w:r w:rsidRPr="00DF67B8">
        <w:rPr>
          <w:iCs/>
          <w:sz w:val="24"/>
          <w:szCs w:val="24"/>
        </w:rPr>
        <w:t xml:space="preserve">parametrů, strategií i cílových stavů. Zásadní </w:t>
      </w:r>
      <w:r>
        <w:rPr>
          <w:iCs/>
          <w:sz w:val="24"/>
          <w:szCs w:val="24"/>
        </w:rPr>
        <w:t xml:space="preserve">pro naplnění </w:t>
      </w:r>
      <w:r w:rsidRPr="00DF67B8">
        <w:rPr>
          <w:iCs/>
          <w:sz w:val="24"/>
          <w:szCs w:val="24"/>
        </w:rPr>
        <w:t>je</w:t>
      </w:r>
      <w:r>
        <w:rPr>
          <w:iCs/>
          <w:sz w:val="24"/>
          <w:szCs w:val="24"/>
        </w:rPr>
        <w:t xml:space="preserve"> však požadavek na jejich striktní dodržování ve stanovených termínech a účinné vymáhání ze strany státu. Sam</w:t>
      </w:r>
      <w:r w:rsidRPr="00DF67B8">
        <w:rPr>
          <w:iCs/>
          <w:sz w:val="24"/>
          <w:szCs w:val="24"/>
        </w:rPr>
        <w:t>ozřejmostí by mělo být vyloučení veškerých výjimek a odkladů termínů vedoucí k vmanipulování občanů do pozice rukojmí výrobců a dodavatelů tepla a elektřiny („velcí spotřebitelé nebudou včas připraveni na přechod na palivo z jiného zdroje nebo na jiný druh paliva“). Doposud jsme byli svědky spíš opačného trendu.</w:t>
      </w:r>
    </w:p>
    <w:p w:rsidR="002D030F" w:rsidRDefault="002D030F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536A7B" w:rsidRDefault="00536A7B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0B0C2D" w:rsidRDefault="000B0C2D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 xml:space="preserve">Praha </w:t>
      </w:r>
      <w:r w:rsidR="00285EE3">
        <w:rPr>
          <w:iCs/>
          <w:sz w:val="24"/>
          <w:szCs w:val="24"/>
        </w:rPr>
        <w:t>2</w:t>
      </w:r>
      <w:r w:rsidR="00DF67B8">
        <w:rPr>
          <w:iCs/>
          <w:sz w:val="24"/>
          <w:szCs w:val="24"/>
        </w:rPr>
        <w:t>2</w:t>
      </w:r>
      <w:r w:rsidRPr="00C87097">
        <w:rPr>
          <w:iCs/>
          <w:sz w:val="24"/>
          <w:szCs w:val="24"/>
        </w:rPr>
        <w:t xml:space="preserve">. </w:t>
      </w:r>
      <w:r w:rsidR="00DF67B8">
        <w:rPr>
          <w:iCs/>
          <w:sz w:val="24"/>
          <w:szCs w:val="24"/>
        </w:rPr>
        <w:t xml:space="preserve">ledna </w:t>
      </w:r>
      <w:r w:rsidRPr="00C87097">
        <w:rPr>
          <w:iCs/>
          <w:sz w:val="24"/>
          <w:szCs w:val="24"/>
        </w:rPr>
        <w:t>201</w:t>
      </w:r>
      <w:r w:rsidR="00DF67B8">
        <w:rPr>
          <w:iCs/>
          <w:sz w:val="24"/>
          <w:szCs w:val="24"/>
        </w:rPr>
        <w:t>5</w:t>
      </w:r>
    </w:p>
    <w:p w:rsidR="007C7BF4" w:rsidRDefault="007C7BF4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536A7B" w:rsidRPr="00C87097" w:rsidRDefault="00536A7B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Za ČPS</w:t>
      </w: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Ing. Jan Ruml</w:t>
      </w: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výkonný ředitel</w:t>
      </w:r>
    </w:p>
    <w:sectPr w:rsidR="00690FFF" w:rsidRPr="00C87097" w:rsidSect="002D030F">
      <w:footerReference w:type="default" r:id="rId8"/>
      <w:headerReference w:type="first" r:id="rId9"/>
      <w:pgSz w:w="11906" w:h="16838" w:code="9"/>
      <w:pgMar w:top="109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10" w:rsidRDefault="008F6310" w:rsidP="00690FFF">
      <w:pPr>
        <w:spacing w:after="0" w:line="240" w:lineRule="auto"/>
      </w:pPr>
      <w:r>
        <w:separator/>
      </w:r>
    </w:p>
  </w:endnote>
  <w:endnote w:type="continuationSeparator" w:id="0">
    <w:p w:rsidR="008F6310" w:rsidRDefault="008F6310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2A219F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="00690FFF"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 w:rsidR="008B50C2">
          <w:rPr>
            <w:noProof/>
            <w:sz w:val="28"/>
            <w:szCs w:val="28"/>
          </w:rPr>
          <w:t>3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10" w:rsidRDefault="008F6310" w:rsidP="00690FFF">
      <w:pPr>
        <w:spacing w:after="0" w:line="240" w:lineRule="auto"/>
      </w:pPr>
      <w:r>
        <w:separator/>
      </w:r>
    </w:p>
  </w:footnote>
  <w:footnote w:type="continuationSeparator" w:id="0">
    <w:p w:rsidR="008F6310" w:rsidRDefault="008F6310" w:rsidP="006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rPr>
        <w:noProof/>
        <w:lang w:eastAsia="cs-CZ"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1C0"/>
    <w:multiLevelType w:val="hybridMultilevel"/>
    <w:tmpl w:val="6A0CCD62"/>
    <w:lvl w:ilvl="0" w:tplc="7A26A2DA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0DD7"/>
    <w:multiLevelType w:val="hybridMultilevel"/>
    <w:tmpl w:val="14FEC3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0210D6"/>
    <w:multiLevelType w:val="hybridMultilevel"/>
    <w:tmpl w:val="BEB6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544EF"/>
    <w:multiLevelType w:val="hybridMultilevel"/>
    <w:tmpl w:val="2246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11BDA"/>
    <w:rsid w:val="00016C1D"/>
    <w:rsid w:val="0002422C"/>
    <w:rsid w:val="00031B5E"/>
    <w:rsid w:val="0006450F"/>
    <w:rsid w:val="0008317D"/>
    <w:rsid w:val="00086C04"/>
    <w:rsid w:val="000B0C2D"/>
    <w:rsid w:val="000C6656"/>
    <w:rsid w:val="000D0AA5"/>
    <w:rsid w:val="000D1671"/>
    <w:rsid w:val="000E37BF"/>
    <w:rsid w:val="000E52C2"/>
    <w:rsid w:val="000E7932"/>
    <w:rsid w:val="000F4381"/>
    <w:rsid w:val="00193718"/>
    <w:rsid w:val="001A0135"/>
    <w:rsid w:val="001C6B0A"/>
    <w:rsid w:val="001F2C51"/>
    <w:rsid w:val="0021298B"/>
    <w:rsid w:val="00262483"/>
    <w:rsid w:val="00277E48"/>
    <w:rsid w:val="00285EE3"/>
    <w:rsid w:val="002A219F"/>
    <w:rsid w:val="002A2BA0"/>
    <w:rsid w:val="002B0284"/>
    <w:rsid w:val="002D030F"/>
    <w:rsid w:val="002E2A45"/>
    <w:rsid w:val="002E6D39"/>
    <w:rsid w:val="00352C7C"/>
    <w:rsid w:val="00362EAA"/>
    <w:rsid w:val="00363282"/>
    <w:rsid w:val="00367917"/>
    <w:rsid w:val="0037075A"/>
    <w:rsid w:val="003A2B73"/>
    <w:rsid w:val="003B215F"/>
    <w:rsid w:val="00414109"/>
    <w:rsid w:val="00442ECB"/>
    <w:rsid w:val="00491215"/>
    <w:rsid w:val="00494FDB"/>
    <w:rsid w:val="004A6E7C"/>
    <w:rsid w:val="004E186A"/>
    <w:rsid w:val="00536A7B"/>
    <w:rsid w:val="00560BF0"/>
    <w:rsid w:val="00561129"/>
    <w:rsid w:val="005D427C"/>
    <w:rsid w:val="0062542B"/>
    <w:rsid w:val="00626C1E"/>
    <w:rsid w:val="00653F9A"/>
    <w:rsid w:val="00683824"/>
    <w:rsid w:val="00685FA7"/>
    <w:rsid w:val="00690FFF"/>
    <w:rsid w:val="006B3EB2"/>
    <w:rsid w:val="006D36CD"/>
    <w:rsid w:val="006D43D5"/>
    <w:rsid w:val="00712452"/>
    <w:rsid w:val="00720444"/>
    <w:rsid w:val="007609A6"/>
    <w:rsid w:val="00774889"/>
    <w:rsid w:val="007759A6"/>
    <w:rsid w:val="007B11BD"/>
    <w:rsid w:val="007C7BF4"/>
    <w:rsid w:val="007D3601"/>
    <w:rsid w:val="007D3F3B"/>
    <w:rsid w:val="007F7FA2"/>
    <w:rsid w:val="00822C71"/>
    <w:rsid w:val="00822ED2"/>
    <w:rsid w:val="008355B2"/>
    <w:rsid w:val="008521A5"/>
    <w:rsid w:val="00853962"/>
    <w:rsid w:val="00855B2D"/>
    <w:rsid w:val="008A216A"/>
    <w:rsid w:val="008A479B"/>
    <w:rsid w:val="008B50C2"/>
    <w:rsid w:val="008B7B7B"/>
    <w:rsid w:val="008E1647"/>
    <w:rsid w:val="008F6310"/>
    <w:rsid w:val="009070FF"/>
    <w:rsid w:val="00943355"/>
    <w:rsid w:val="00956A2F"/>
    <w:rsid w:val="00971C0F"/>
    <w:rsid w:val="009759BB"/>
    <w:rsid w:val="00975BD0"/>
    <w:rsid w:val="00984E40"/>
    <w:rsid w:val="009B5E95"/>
    <w:rsid w:val="009E17B0"/>
    <w:rsid w:val="00A05231"/>
    <w:rsid w:val="00A31744"/>
    <w:rsid w:val="00A32A3B"/>
    <w:rsid w:val="00A47E50"/>
    <w:rsid w:val="00A7013D"/>
    <w:rsid w:val="00A94DAE"/>
    <w:rsid w:val="00AB0BCE"/>
    <w:rsid w:val="00AB123E"/>
    <w:rsid w:val="00AD5E72"/>
    <w:rsid w:val="00AF03F3"/>
    <w:rsid w:val="00B05F1E"/>
    <w:rsid w:val="00B14160"/>
    <w:rsid w:val="00B35506"/>
    <w:rsid w:val="00B519D4"/>
    <w:rsid w:val="00B5230F"/>
    <w:rsid w:val="00B5741A"/>
    <w:rsid w:val="00B848FC"/>
    <w:rsid w:val="00B862A8"/>
    <w:rsid w:val="00BC074E"/>
    <w:rsid w:val="00BF2C72"/>
    <w:rsid w:val="00C126B3"/>
    <w:rsid w:val="00C24D08"/>
    <w:rsid w:val="00C33A47"/>
    <w:rsid w:val="00C352E3"/>
    <w:rsid w:val="00C52859"/>
    <w:rsid w:val="00C54BBC"/>
    <w:rsid w:val="00C6680C"/>
    <w:rsid w:val="00C87097"/>
    <w:rsid w:val="00CD0BC8"/>
    <w:rsid w:val="00D06F5C"/>
    <w:rsid w:val="00D338C1"/>
    <w:rsid w:val="00D55334"/>
    <w:rsid w:val="00DA5436"/>
    <w:rsid w:val="00DA61F1"/>
    <w:rsid w:val="00DD158F"/>
    <w:rsid w:val="00DE2C1F"/>
    <w:rsid w:val="00DE3D65"/>
    <w:rsid w:val="00DF1D14"/>
    <w:rsid w:val="00DF67B8"/>
    <w:rsid w:val="00E047E0"/>
    <w:rsid w:val="00E144DF"/>
    <w:rsid w:val="00E46A27"/>
    <w:rsid w:val="00E905B8"/>
    <w:rsid w:val="00E918E7"/>
    <w:rsid w:val="00EC73D2"/>
    <w:rsid w:val="00EF5BB6"/>
    <w:rsid w:val="00F06A02"/>
    <w:rsid w:val="00F10F04"/>
    <w:rsid w:val="00F31C53"/>
    <w:rsid w:val="00F32608"/>
    <w:rsid w:val="00F5171E"/>
    <w:rsid w:val="00F7238D"/>
    <w:rsid w:val="00F76FB1"/>
    <w:rsid w:val="00FB2F5F"/>
    <w:rsid w:val="00FF078C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1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FB1"/>
    <w:rPr>
      <w:vertAlign w:val="superscript"/>
    </w:rPr>
  </w:style>
  <w:style w:type="paragraph" w:styleId="Bezmezer">
    <w:name w:val="No Spacing"/>
    <w:uiPriority w:val="1"/>
    <w:qFormat/>
    <w:rsid w:val="001F2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FB1"/>
    <w:rPr>
      <w:vertAlign w:val="superscript"/>
    </w:rPr>
  </w:style>
  <w:style w:type="paragraph" w:styleId="Bezmezer">
    <w:name w:val="No Spacing"/>
    <w:uiPriority w:val="1"/>
    <w:qFormat/>
    <w:rsid w:val="001F2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F502-B5E5-4769-8A38-D016FFE0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2</cp:revision>
  <dcterms:created xsi:type="dcterms:W3CDTF">2015-01-28T16:12:00Z</dcterms:created>
  <dcterms:modified xsi:type="dcterms:W3CDTF">2015-01-28T16:12:00Z</dcterms:modified>
</cp:coreProperties>
</file>