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2E1" w:rsidRDefault="00FC32E1" w:rsidP="00B55BF7">
      <w:pPr>
        <w:spacing w:line="240" w:lineRule="auto"/>
        <w:jc w:val="center"/>
        <w:rPr>
          <w:b/>
          <w:sz w:val="28"/>
          <w:szCs w:val="28"/>
        </w:rPr>
      </w:pPr>
    </w:p>
    <w:p w:rsidR="00AF6525" w:rsidRPr="00393A6A" w:rsidRDefault="00AF6525" w:rsidP="00B55BF7">
      <w:pPr>
        <w:spacing w:line="240" w:lineRule="auto"/>
        <w:jc w:val="center"/>
        <w:rPr>
          <w:b/>
          <w:sz w:val="28"/>
          <w:szCs w:val="28"/>
        </w:rPr>
      </w:pPr>
    </w:p>
    <w:p w:rsidR="007F7FA2" w:rsidRPr="00AF6525" w:rsidRDefault="00FA2893" w:rsidP="00B55BF7">
      <w:pPr>
        <w:spacing w:line="240" w:lineRule="auto"/>
        <w:jc w:val="center"/>
        <w:rPr>
          <w:b/>
          <w:sz w:val="28"/>
          <w:szCs w:val="28"/>
        </w:rPr>
      </w:pPr>
      <w:bookmarkStart w:id="0" w:name="_GoBack"/>
      <w:bookmarkEnd w:id="0"/>
      <w:r w:rsidRPr="00AF6525">
        <w:rPr>
          <w:b/>
          <w:sz w:val="28"/>
          <w:szCs w:val="28"/>
        </w:rPr>
        <w:t>Připomínky</w:t>
      </w:r>
      <w:r w:rsidR="006A0AA2" w:rsidRPr="00AF6525">
        <w:rPr>
          <w:b/>
          <w:sz w:val="28"/>
          <w:szCs w:val="28"/>
        </w:rPr>
        <w:t xml:space="preserve"> ČPS</w:t>
      </w:r>
      <w:r w:rsidRPr="00AF6525">
        <w:rPr>
          <w:b/>
          <w:sz w:val="28"/>
          <w:szCs w:val="28"/>
        </w:rPr>
        <w:t xml:space="preserve"> k návrhu vyhlášky o způsobu regulace cen a postupech regulace cen v</w:t>
      </w:r>
      <w:r w:rsidR="00676B40" w:rsidRPr="00AF6525">
        <w:rPr>
          <w:b/>
          <w:sz w:val="28"/>
          <w:szCs w:val="28"/>
        </w:rPr>
        <w:t> </w:t>
      </w:r>
      <w:r w:rsidRPr="00AF6525">
        <w:rPr>
          <w:b/>
          <w:sz w:val="28"/>
          <w:szCs w:val="28"/>
        </w:rPr>
        <w:t>plynárenství</w:t>
      </w:r>
    </w:p>
    <w:p w:rsidR="00676B40" w:rsidRDefault="00676B40" w:rsidP="00B55BF7">
      <w:pPr>
        <w:spacing w:line="240" w:lineRule="auto"/>
        <w:jc w:val="center"/>
        <w:rPr>
          <w:sz w:val="28"/>
          <w:szCs w:val="28"/>
        </w:rPr>
      </w:pPr>
    </w:p>
    <w:p w:rsidR="00676B40" w:rsidRDefault="00676B40" w:rsidP="00676B40">
      <w:pPr>
        <w:spacing w:line="240" w:lineRule="auto"/>
        <w:jc w:val="both"/>
        <w:rPr>
          <w:sz w:val="28"/>
          <w:szCs w:val="28"/>
        </w:rPr>
      </w:pPr>
      <w:r w:rsidRPr="00676B40">
        <w:rPr>
          <w:sz w:val="28"/>
          <w:szCs w:val="28"/>
        </w:rPr>
        <w:t>K navrhované vyhlášce o způsobu regulace cen</w:t>
      </w:r>
      <w:r>
        <w:rPr>
          <w:sz w:val="28"/>
          <w:szCs w:val="28"/>
        </w:rPr>
        <w:t xml:space="preserve"> a postupech pro regulaci cen v </w:t>
      </w:r>
      <w:r w:rsidRPr="00676B40">
        <w:rPr>
          <w:sz w:val="28"/>
          <w:szCs w:val="28"/>
        </w:rPr>
        <w:t xml:space="preserve">plynárenství zveřejněné dne 11. 7. 2014 </w:t>
      </w:r>
      <w:r>
        <w:rPr>
          <w:sz w:val="28"/>
          <w:szCs w:val="28"/>
        </w:rPr>
        <w:t>uvádíme níže naše připomínky. Z </w:t>
      </w:r>
      <w:r w:rsidRPr="00676B40">
        <w:rPr>
          <w:sz w:val="28"/>
          <w:szCs w:val="28"/>
        </w:rPr>
        <w:t>důvodu zachování jednotnosti principů regulace pro sektory elektroenergetiky a plynárenství zároveň navrhujeme, aby Vámi akceptované připomínky byly odpovídajícím způsobem promítnuty i do změn vyhlášky č. 436/2013 Sb. o způsobu regulace cen</w:t>
      </w:r>
      <w:r>
        <w:rPr>
          <w:sz w:val="28"/>
          <w:szCs w:val="28"/>
        </w:rPr>
        <w:t xml:space="preserve"> a postupech pro regulaci cen v </w:t>
      </w:r>
      <w:r w:rsidRPr="00676B40">
        <w:rPr>
          <w:sz w:val="28"/>
          <w:szCs w:val="28"/>
        </w:rPr>
        <w:t>e</w:t>
      </w:r>
      <w:r>
        <w:rPr>
          <w:sz w:val="28"/>
          <w:szCs w:val="28"/>
        </w:rPr>
        <w:t>lektroenergetice a teplárenství.</w:t>
      </w:r>
    </w:p>
    <w:p w:rsidR="00AF6525" w:rsidRDefault="00AF6525" w:rsidP="00676B40">
      <w:pPr>
        <w:spacing w:line="240" w:lineRule="auto"/>
        <w:jc w:val="both"/>
        <w:rPr>
          <w:sz w:val="28"/>
          <w:szCs w:val="28"/>
        </w:rPr>
      </w:pPr>
    </w:p>
    <w:p w:rsidR="00FA2893" w:rsidRPr="00393A6A" w:rsidRDefault="007C1EE6" w:rsidP="00B55BF7">
      <w:pPr>
        <w:pStyle w:val="Odstavecseseznamem"/>
        <w:keepNext/>
        <w:numPr>
          <w:ilvl w:val="0"/>
          <w:numId w:val="1"/>
        </w:numPr>
        <w:tabs>
          <w:tab w:val="left" w:pos="567"/>
        </w:tabs>
        <w:spacing w:before="240" w:after="120" w:line="240" w:lineRule="auto"/>
        <w:ind w:left="0" w:firstLine="0"/>
        <w:contextualSpacing w:val="0"/>
        <w:jc w:val="both"/>
        <w:rPr>
          <w:sz w:val="28"/>
          <w:szCs w:val="28"/>
        </w:rPr>
      </w:pPr>
      <w:r w:rsidRPr="00393A6A">
        <w:rPr>
          <w:sz w:val="28"/>
          <w:szCs w:val="28"/>
        </w:rPr>
        <w:t>Připomínka</w:t>
      </w:r>
      <w:r w:rsidR="00FA2893" w:rsidRPr="00393A6A">
        <w:rPr>
          <w:sz w:val="28"/>
          <w:szCs w:val="28"/>
        </w:rPr>
        <w:t xml:space="preserve"> k investičnímu regulačnímu faktoru (IRF)</w:t>
      </w:r>
    </w:p>
    <w:p w:rsidR="00FA2893" w:rsidRPr="00393A6A" w:rsidRDefault="00FA2893" w:rsidP="00B55BF7">
      <w:pPr>
        <w:pStyle w:val="Default"/>
        <w:keepNext/>
        <w:jc w:val="both"/>
        <w:rPr>
          <w:rFonts w:asciiTheme="minorHAnsi" w:hAnsiTheme="minorHAnsi"/>
          <w:sz w:val="28"/>
          <w:szCs w:val="28"/>
          <w:u w:val="single"/>
        </w:rPr>
      </w:pPr>
      <w:r w:rsidRPr="00393A6A">
        <w:rPr>
          <w:rFonts w:asciiTheme="minorHAnsi" w:hAnsiTheme="minorHAnsi"/>
          <w:sz w:val="28"/>
          <w:szCs w:val="28"/>
          <w:u w:val="single"/>
        </w:rPr>
        <w:t>Odůvodnění připomínky:</w:t>
      </w:r>
    </w:p>
    <w:p w:rsidR="00FA2893" w:rsidRPr="00393A6A" w:rsidRDefault="00FA2893" w:rsidP="00B55BF7">
      <w:pPr>
        <w:pStyle w:val="Default"/>
        <w:jc w:val="both"/>
        <w:rPr>
          <w:rFonts w:asciiTheme="minorHAnsi" w:hAnsiTheme="minorHAnsi"/>
          <w:sz w:val="28"/>
          <w:szCs w:val="28"/>
        </w:rPr>
      </w:pPr>
      <w:r w:rsidRPr="00393A6A">
        <w:rPr>
          <w:rFonts w:asciiTheme="minorHAnsi" w:hAnsiTheme="minorHAnsi"/>
          <w:sz w:val="28"/>
          <w:szCs w:val="28"/>
        </w:rPr>
        <w:t>Zavedení jakéhokoliv dodatečného zdroje financování investiční činnosti v povolených výnosech regulovaných subjektů</w:t>
      </w:r>
      <w:r w:rsidR="00B55BF7">
        <w:rPr>
          <w:rFonts w:asciiTheme="minorHAnsi" w:hAnsiTheme="minorHAnsi"/>
          <w:sz w:val="28"/>
          <w:szCs w:val="28"/>
        </w:rPr>
        <w:t xml:space="preserve"> je v každém případě žádoucí a </w:t>
      </w:r>
      <w:r w:rsidRPr="00393A6A">
        <w:rPr>
          <w:rFonts w:asciiTheme="minorHAnsi" w:hAnsiTheme="minorHAnsi"/>
          <w:sz w:val="28"/>
          <w:szCs w:val="28"/>
        </w:rPr>
        <w:t>může vést k finanční stabilizaci společnosti nacházející se v rostoucí fázi investičního cyklu, nicméně je potřeba zdůraznit, že vzhledem k jednorázovým masivním investičním akcím v minulosti, z nichž vyplývá v současnosti spíše nutnost investic do obnovy plynárenského zařízení a méně potřebné investice do rozvoje distribuční soustavy (zejména odkupy plynárenských zařízení), patrně ke kýženému efektu dlouhodobé stability ve financování u regulovaných subjektů nedojde. V zájmu této dlouhodobé stability by uvedený investiční faktor měl zahrnovat nejenom investiční prostředky na rozvoj distribuční soustavy, ale též na její obnovu a v tomto smyslu by se měl upravit i jeho název a definice. Z tohoto důvodu navrhujeme změnu názvu z „investičního rozvojového faktoru“ na „investiční faktor“ a tato úprava by měla být promítnuta i do souvisejících definic.</w:t>
      </w:r>
    </w:p>
    <w:p w:rsidR="00FA2893" w:rsidRPr="00393A6A" w:rsidRDefault="00FA2893" w:rsidP="00B55BF7">
      <w:pPr>
        <w:pStyle w:val="Default"/>
        <w:jc w:val="both"/>
        <w:rPr>
          <w:rFonts w:asciiTheme="minorHAnsi" w:hAnsiTheme="minorHAnsi"/>
          <w:sz w:val="28"/>
          <w:szCs w:val="28"/>
        </w:rPr>
      </w:pPr>
    </w:p>
    <w:p w:rsidR="00FA2893" w:rsidRPr="00393A6A" w:rsidRDefault="00FA2893" w:rsidP="00B55BF7">
      <w:pPr>
        <w:pStyle w:val="Default"/>
        <w:keepNext/>
        <w:jc w:val="both"/>
        <w:rPr>
          <w:rFonts w:asciiTheme="minorHAnsi" w:hAnsiTheme="minorHAnsi"/>
          <w:sz w:val="28"/>
          <w:szCs w:val="28"/>
          <w:u w:val="single"/>
        </w:rPr>
      </w:pPr>
      <w:r w:rsidRPr="00393A6A">
        <w:rPr>
          <w:rFonts w:asciiTheme="minorHAnsi" w:hAnsiTheme="minorHAnsi"/>
          <w:sz w:val="28"/>
          <w:szCs w:val="28"/>
          <w:u w:val="single"/>
        </w:rPr>
        <w:t>Návrh promítnutí připomínky do návrhu vyhlášky:</w:t>
      </w:r>
    </w:p>
    <w:p w:rsidR="00FA2893" w:rsidRPr="00393A6A" w:rsidRDefault="00FA2893" w:rsidP="00B55BF7">
      <w:pPr>
        <w:pStyle w:val="Default"/>
        <w:jc w:val="both"/>
        <w:rPr>
          <w:rFonts w:asciiTheme="minorHAnsi" w:hAnsiTheme="minorHAnsi"/>
          <w:sz w:val="28"/>
          <w:szCs w:val="28"/>
        </w:rPr>
      </w:pPr>
      <w:r w:rsidRPr="00393A6A">
        <w:rPr>
          <w:rFonts w:asciiTheme="minorHAnsi" w:hAnsiTheme="minorHAnsi"/>
          <w:sz w:val="28"/>
          <w:szCs w:val="28"/>
        </w:rPr>
        <w:t>Navrhujeme následující úpravy v Návrhu regulační vyhlášky:</w:t>
      </w:r>
    </w:p>
    <w:p w:rsidR="00FA2893" w:rsidRPr="00393A6A" w:rsidRDefault="00FA2893" w:rsidP="00B55BF7">
      <w:pPr>
        <w:pStyle w:val="Default"/>
        <w:jc w:val="both"/>
        <w:rPr>
          <w:rFonts w:asciiTheme="minorHAnsi" w:hAnsiTheme="minorHAnsi"/>
          <w:sz w:val="28"/>
          <w:szCs w:val="28"/>
        </w:rPr>
      </w:pPr>
    </w:p>
    <w:p w:rsidR="00FA2893" w:rsidRPr="00393A6A" w:rsidRDefault="00FA2893" w:rsidP="00B55BF7">
      <w:pPr>
        <w:pStyle w:val="Default"/>
        <w:jc w:val="both"/>
        <w:rPr>
          <w:rFonts w:asciiTheme="minorHAnsi" w:hAnsiTheme="minorHAnsi"/>
          <w:i/>
          <w:sz w:val="28"/>
          <w:szCs w:val="28"/>
        </w:rPr>
      </w:pPr>
      <w:r w:rsidRPr="00393A6A">
        <w:rPr>
          <w:rFonts w:asciiTheme="minorHAnsi" w:hAnsiTheme="minorHAnsi"/>
          <w:b/>
          <w:i/>
          <w:sz w:val="28"/>
          <w:szCs w:val="28"/>
        </w:rPr>
        <w:t>IRF</w:t>
      </w:r>
      <w:r w:rsidRPr="00393A6A">
        <w:rPr>
          <w:rFonts w:asciiTheme="minorHAnsi" w:hAnsiTheme="minorHAnsi"/>
          <w:b/>
          <w:i/>
          <w:sz w:val="28"/>
          <w:szCs w:val="28"/>
          <w:vertAlign w:val="subscript"/>
        </w:rPr>
        <w:t>dppli</w:t>
      </w:r>
      <w:r w:rsidRPr="00393A6A">
        <w:rPr>
          <w:rFonts w:asciiTheme="minorHAnsi" w:hAnsiTheme="minorHAnsi"/>
          <w:b/>
          <w:i/>
          <w:sz w:val="28"/>
          <w:szCs w:val="28"/>
        </w:rPr>
        <w:t xml:space="preserve"> </w:t>
      </w:r>
      <w:r w:rsidRPr="00393A6A">
        <w:rPr>
          <w:rFonts w:asciiTheme="minorHAnsi" w:hAnsiTheme="minorHAnsi"/>
          <w:b/>
          <w:i/>
          <w:iCs/>
          <w:sz w:val="28"/>
          <w:szCs w:val="28"/>
        </w:rPr>
        <w:t xml:space="preserve">[Kč] </w:t>
      </w:r>
      <w:r w:rsidRPr="00393A6A">
        <w:rPr>
          <w:rFonts w:asciiTheme="minorHAnsi" w:hAnsiTheme="minorHAnsi"/>
          <w:i/>
          <w:iCs/>
          <w:sz w:val="28"/>
          <w:szCs w:val="28"/>
        </w:rPr>
        <w:t xml:space="preserve">je plánovaná hodnota investičního </w:t>
      </w:r>
      <w:r w:rsidRPr="00393A6A">
        <w:rPr>
          <w:rFonts w:asciiTheme="minorHAnsi" w:hAnsiTheme="minorHAnsi"/>
          <w:i/>
          <w:iCs/>
          <w:strike/>
          <w:sz w:val="28"/>
          <w:szCs w:val="28"/>
        </w:rPr>
        <w:t>rozvojového</w:t>
      </w:r>
      <w:r w:rsidRPr="00393A6A">
        <w:rPr>
          <w:rFonts w:asciiTheme="minorHAnsi" w:hAnsiTheme="minorHAnsi"/>
          <w:i/>
          <w:iCs/>
          <w:sz w:val="28"/>
          <w:szCs w:val="28"/>
        </w:rPr>
        <w:t xml:space="preserve"> faktoru provozovatele distribuční soustavy pro činnost distribuce plynu pro regulovaný </w:t>
      </w:r>
      <w:r w:rsidRPr="00393A6A">
        <w:rPr>
          <w:rFonts w:asciiTheme="minorHAnsi" w:hAnsiTheme="minorHAnsi"/>
          <w:i/>
          <w:iCs/>
          <w:sz w:val="28"/>
          <w:szCs w:val="28"/>
        </w:rPr>
        <w:lastRenderedPageBreak/>
        <w:t>rok i stanovená Úřadem na základě analýzy potřeby prostředků na investice související s </w:t>
      </w:r>
      <w:r w:rsidRPr="00393A6A">
        <w:rPr>
          <w:rFonts w:asciiTheme="minorHAnsi" w:hAnsiTheme="minorHAnsi"/>
          <w:b/>
          <w:i/>
          <w:iCs/>
          <w:sz w:val="28"/>
          <w:szCs w:val="28"/>
        </w:rPr>
        <w:t>obnovou a</w:t>
      </w:r>
      <w:r w:rsidRPr="00393A6A">
        <w:rPr>
          <w:rFonts w:asciiTheme="minorHAnsi" w:hAnsiTheme="minorHAnsi"/>
          <w:i/>
          <w:iCs/>
          <w:sz w:val="28"/>
          <w:szCs w:val="28"/>
        </w:rPr>
        <w:t xml:space="preserve">  rozvojem distribuční soustavy,</w:t>
      </w:r>
    </w:p>
    <w:p w:rsidR="00FA2893" w:rsidRPr="00393A6A" w:rsidRDefault="00FA2893" w:rsidP="00B55BF7">
      <w:pPr>
        <w:pStyle w:val="Default"/>
        <w:jc w:val="both"/>
        <w:rPr>
          <w:rFonts w:asciiTheme="minorHAnsi" w:hAnsiTheme="minorHAnsi"/>
          <w:sz w:val="28"/>
          <w:szCs w:val="28"/>
        </w:rPr>
      </w:pPr>
    </w:p>
    <w:p w:rsidR="00FA2893" w:rsidRPr="00393A6A" w:rsidRDefault="00FA2893" w:rsidP="00B55BF7">
      <w:pPr>
        <w:pStyle w:val="Default"/>
        <w:jc w:val="both"/>
        <w:rPr>
          <w:rFonts w:asciiTheme="minorHAnsi" w:hAnsiTheme="minorHAnsi"/>
          <w:i/>
          <w:sz w:val="28"/>
          <w:szCs w:val="28"/>
        </w:rPr>
      </w:pPr>
      <w:r w:rsidRPr="00393A6A">
        <w:rPr>
          <w:rFonts w:asciiTheme="minorHAnsi" w:hAnsiTheme="minorHAnsi"/>
          <w:b/>
          <w:bCs/>
          <w:i/>
          <w:sz w:val="28"/>
          <w:szCs w:val="28"/>
        </w:rPr>
        <w:t>IRF</w:t>
      </w:r>
      <w:r w:rsidRPr="00393A6A">
        <w:rPr>
          <w:rFonts w:asciiTheme="minorHAnsi" w:hAnsiTheme="minorHAnsi"/>
          <w:b/>
          <w:bCs/>
          <w:i/>
          <w:sz w:val="28"/>
          <w:szCs w:val="28"/>
          <w:vertAlign w:val="subscript"/>
        </w:rPr>
        <w:t>dpi</w:t>
      </w:r>
      <w:r w:rsidRPr="00393A6A">
        <w:rPr>
          <w:rFonts w:asciiTheme="minorHAnsi" w:hAnsiTheme="minorHAnsi"/>
          <w:b/>
          <w:bCs/>
          <w:i/>
          <w:sz w:val="28"/>
          <w:szCs w:val="28"/>
        </w:rPr>
        <w:t xml:space="preserve"> </w:t>
      </w:r>
      <w:r w:rsidRPr="00393A6A">
        <w:rPr>
          <w:rFonts w:asciiTheme="minorHAnsi" w:hAnsiTheme="minorHAnsi"/>
          <w:b/>
          <w:i/>
          <w:sz w:val="28"/>
          <w:szCs w:val="28"/>
        </w:rPr>
        <w:t>[Kč]</w:t>
      </w:r>
      <w:r w:rsidRPr="00393A6A">
        <w:rPr>
          <w:rFonts w:asciiTheme="minorHAnsi" w:hAnsiTheme="minorHAnsi"/>
          <w:i/>
          <w:sz w:val="28"/>
          <w:szCs w:val="28"/>
        </w:rPr>
        <w:t xml:space="preserve"> je hodnota investičního </w:t>
      </w:r>
      <w:r w:rsidRPr="00393A6A">
        <w:rPr>
          <w:rFonts w:asciiTheme="minorHAnsi" w:hAnsiTheme="minorHAnsi"/>
          <w:i/>
          <w:strike/>
          <w:sz w:val="28"/>
          <w:szCs w:val="28"/>
        </w:rPr>
        <w:t>rozvojového</w:t>
      </w:r>
      <w:r w:rsidRPr="00393A6A">
        <w:rPr>
          <w:rFonts w:asciiTheme="minorHAnsi" w:hAnsiTheme="minorHAnsi"/>
          <w:i/>
          <w:sz w:val="28"/>
          <w:szCs w:val="28"/>
        </w:rPr>
        <w:t xml:space="preserve"> faktoru provozovatele distribuční soustavy pro činnost distribuce plynu pro regulovaný rok i stanovená vztahem</w:t>
      </w:r>
      <w:r w:rsidR="00B55BF7">
        <w:rPr>
          <w:rFonts w:asciiTheme="minorHAnsi" w:hAnsiTheme="minorHAnsi"/>
          <w:i/>
          <w:sz w:val="28"/>
          <w:szCs w:val="28"/>
        </w:rPr>
        <w:t>,</w:t>
      </w:r>
    </w:p>
    <w:p w:rsidR="00FA2893" w:rsidRPr="00393A6A" w:rsidRDefault="00FA2893" w:rsidP="00B55BF7">
      <w:pPr>
        <w:pStyle w:val="Default"/>
        <w:jc w:val="both"/>
        <w:rPr>
          <w:rFonts w:asciiTheme="minorHAnsi" w:hAnsiTheme="minorHAnsi"/>
          <w:b/>
          <w:bCs/>
          <w:i/>
          <w:sz w:val="28"/>
          <w:szCs w:val="28"/>
        </w:rPr>
      </w:pPr>
    </w:p>
    <w:p w:rsidR="00FA2893" w:rsidRPr="00393A6A" w:rsidRDefault="00FA2893" w:rsidP="00B55BF7">
      <w:pPr>
        <w:pStyle w:val="Default"/>
        <w:jc w:val="both"/>
        <w:rPr>
          <w:rFonts w:asciiTheme="minorHAnsi" w:hAnsiTheme="minorHAnsi"/>
          <w:i/>
          <w:sz w:val="28"/>
          <w:szCs w:val="28"/>
        </w:rPr>
      </w:pPr>
      <w:r w:rsidRPr="00393A6A">
        <w:rPr>
          <w:rFonts w:asciiTheme="minorHAnsi" w:hAnsiTheme="minorHAnsi"/>
          <w:b/>
          <w:bCs/>
          <w:i/>
          <w:sz w:val="28"/>
          <w:szCs w:val="28"/>
        </w:rPr>
        <w:t>KF</w:t>
      </w:r>
      <w:r w:rsidRPr="00393A6A">
        <w:rPr>
          <w:rFonts w:asciiTheme="minorHAnsi" w:hAnsiTheme="minorHAnsi"/>
          <w:b/>
          <w:bCs/>
          <w:i/>
          <w:sz w:val="28"/>
          <w:szCs w:val="28"/>
          <w:vertAlign w:val="subscript"/>
        </w:rPr>
        <w:t>dpirfi</w:t>
      </w:r>
      <w:r w:rsidRPr="00393A6A">
        <w:rPr>
          <w:rFonts w:asciiTheme="minorHAnsi" w:hAnsiTheme="minorHAnsi"/>
          <w:b/>
          <w:bCs/>
          <w:i/>
          <w:sz w:val="28"/>
          <w:szCs w:val="28"/>
        </w:rPr>
        <w:t xml:space="preserve"> </w:t>
      </w:r>
      <w:r w:rsidRPr="00393A6A">
        <w:rPr>
          <w:rFonts w:asciiTheme="minorHAnsi" w:hAnsiTheme="minorHAnsi"/>
          <w:b/>
          <w:i/>
          <w:sz w:val="28"/>
          <w:szCs w:val="28"/>
        </w:rPr>
        <w:t>[Kč]</w:t>
      </w:r>
      <w:r w:rsidRPr="00393A6A">
        <w:rPr>
          <w:rFonts w:asciiTheme="minorHAnsi" w:hAnsiTheme="minorHAnsi"/>
          <w:i/>
          <w:sz w:val="28"/>
          <w:szCs w:val="28"/>
        </w:rPr>
        <w:t xml:space="preserve"> je korekční faktor investičního </w:t>
      </w:r>
      <w:r w:rsidRPr="00393A6A">
        <w:rPr>
          <w:rFonts w:asciiTheme="minorHAnsi" w:hAnsiTheme="minorHAnsi"/>
          <w:i/>
          <w:strike/>
          <w:sz w:val="28"/>
          <w:szCs w:val="28"/>
        </w:rPr>
        <w:t>rozvojového</w:t>
      </w:r>
      <w:r w:rsidRPr="00393A6A">
        <w:rPr>
          <w:rFonts w:asciiTheme="minorHAnsi" w:hAnsiTheme="minorHAnsi"/>
          <w:i/>
          <w:sz w:val="28"/>
          <w:szCs w:val="28"/>
        </w:rPr>
        <w:t xml:space="preserve"> faktoru provozovatele distribuční soustavy pro regulovaný rok i stanovený postupem podle přílohy č. 3 k této vyhlášce,</w:t>
      </w:r>
    </w:p>
    <w:p w:rsidR="00FA2893" w:rsidRPr="00393A6A" w:rsidRDefault="00FA2893" w:rsidP="00B55BF7">
      <w:pPr>
        <w:pStyle w:val="Default"/>
        <w:jc w:val="both"/>
        <w:rPr>
          <w:rFonts w:asciiTheme="minorHAnsi" w:hAnsiTheme="minorHAnsi"/>
          <w:i/>
          <w:sz w:val="28"/>
          <w:szCs w:val="28"/>
        </w:rPr>
      </w:pPr>
    </w:p>
    <w:p w:rsidR="00FA2893" w:rsidRPr="00393A6A" w:rsidRDefault="00FA2893" w:rsidP="00B55BF7">
      <w:pPr>
        <w:pStyle w:val="Default"/>
        <w:jc w:val="both"/>
        <w:rPr>
          <w:rFonts w:asciiTheme="minorHAnsi" w:hAnsiTheme="minorHAnsi"/>
          <w:i/>
          <w:sz w:val="28"/>
          <w:szCs w:val="28"/>
        </w:rPr>
      </w:pPr>
      <w:r w:rsidRPr="00393A6A">
        <w:rPr>
          <w:rFonts w:asciiTheme="minorHAnsi" w:hAnsiTheme="minorHAnsi"/>
          <w:b/>
          <w:bCs/>
          <w:i/>
          <w:sz w:val="28"/>
          <w:szCs w:val="28"/>
        </w:rPr>
        <w:t>IRF</w:t>
      </w:r>
      <w:r w:rsidRPr="00393A6A">
        <w:rPr>
          <w:rFonts w:asciiTheme="minorHAnsi" w:hAnsiTheme="minorHAnsi"/>
          <w:b/>
          <w:bCs/>
          <w:i/>
          <w:sz w:val="28"/>
          <w:szCs w:val="28"/>
          <w:vertAlign w:val="subscript"/>
        </w:rPr>
        <w:t>dpski-2</w:t>
      </w:r>
      <w:r w:rsidRPr="00393A6A">
        <w:rPr>
          <w:rFonts w:asciiTheme="minorHAnsi" w:hAnsiTheme="minorHAnsi"/>
          <w:b/>
          <w:bCs/>
          <w:i/>
          <w:sz w:val="28"/>
          <w:szCs w:val="28"/>
        </w:rPr>
        <w:t xml:space="preserve"> </w:t>
      </w:r>
      <w:r w:rsidRPr="00393A6A">
        <w:rPr>
          <w:rFonts w:asciiTheme="minorHAnsi" w:hAnsiTheme="minorHAnsi"/>
          <w:b/>
          <w:i/>
          <w:sz w:val="28"/>
          <w:szCs w:val="28"/>
        </w:rPr>
        <w:t>[Kč]</w:t>
      </w:r>
      <w:r w:rsidRPr="00393A6A">
        <w:rPr>
          <w:rFonts w:asciiTheme="minorHAnsi" w:hAnsiTheme="minorHAnsi"/>
          <w:i/>
          <w:sz w:val="28"/>
          <w:szCs w:val="28"/>
        </w:rPr>
        <w:t xml:space="preserve"> je skutečná hodnota investičního </w:t>
      </w:r>
      <w:r w:rsidRPr="00393A6A">
        <w:rPr>
          <w:rFonts w:asciiTheme="minorHAnsi" w:hAnsiTheme="minorHAnsi"/>
          <w:i/>
          <w:strike/>
          <w:sz w:val="28"/>
          <w:szCs w:val="28"/>
        </w:rPr>
        <w:t>rozvojového</w:t>
      </w:r>
      <w:r w:rsidRPr="00393A6A">
        <w:rPr>
          <w:rFonts w:asciiTheme="minorHAnsi" w:hAnsiTheme="minorHAnsi"/>
          <w:i/>
          <w:sz w:val="28"/>
          <w:szCs w:val="28"/>
        </w:rPr>
        <w:t xml:space="preserve"> faktoru provozovatele distribuční soustavy pro činnost distribuce plynu pro rok i-2.</w:t>
      </w:r>
    </w:p>
    <w:p w:rsidR="00451BC3" w:rsidRDefault="00451BC3" w:rsidP="00B55BF7">
      <w:pPr>
        <w:pStyle w:val="Default"/>
        <w:jc w:val="both"/>
        <w:rPr>
          <w:rFonts w:asciiTheme="minorHAnsi" w:hAnsiTheme="minorHAnsi"/>
          <w:sz w:val="28"/>
          <w:szCs w:val="28"/>
        </w:rPr>
      </w:pPr>
    </w:p>
    <w:p w:rsidR="00451BC3" w:rsidRPr="00393A6A" w:rsidRDefault="00393A6A" w:rsidP="00B55BF7">
      <w:pPr>
        <w:pStyle w:val="Odstavecseseznamem"/>
        <w:keepNext/>
        <w:numPr>
          <w:ilvl w:val="0"/>
          <w:numId w:val="1"/>
        </w:numPr>
        <w:tabs>
          <w:tab w:val="left" w:pos="567"/>
        </w:tabs>
        <w:spacing w:before="240" w:after="120" w:line="240" w:lineRule="auto"/>
        <w:ind w:left="0" w:firstLine="0"/>
        <w:contextualSpacing w:val="0"/>
        <w:jc w:val="both"/>
        <w:rPr>
          <w:sz w:val="28"/>
          <w:szCs w:val="28"/>
        </w:rPr>
      </w:pPr>
      <w:r w:rsidRPr="00393A6A">
        <w:rPr>
          <w:sz w:val="28"/>
          <w:szCs w:val="28"/>
        </w:rPr>
        <w:t>Připomínka ke k</w:t>
      </w:r>
      <w:r w:rsidR="00451BC3" w:rsidRPr="00393A6A">
        <w:rPr>
          <w:sz w:val="28"/>
          <w:szCs w:val="28"/>
        </w:rPr>
        <w:t>orekční</w:t>
      </w:r>
      <w:r w:rsidRPr="00393A6A">
        <w:rPr>
          <w:sz w:val="28"/>
          <w:szCs w:val="28"/>
        </w:rPr>
        <w:t>mu</w:t>
      </w:r>
      <w:r w:rsidR="00451BC3" w:rsidRPr="00393A6A">
        <w:rPr>
          <w:sz w:val="28"/>
          <w:szCs w:val="28"/>
        </w:rPr>
        <w:t xml:space="preserve"> faktor</w:t>
      </w:r>
      <w:r w:rsidRPr="00393A6A">
        <w:rPr>
          <w:sz w:val="28"/>
          <w:szCs w:val="28"/>
        </w:rPr>
        <w:t>u</w:t>
      </w:r>
      <w:r w:rsidR="00451BC3" w:rsidRPr="00393A6A">
        <w:rPr>
          <w:sz w:val="28"/>
          <w:szCs w:val="28"/>
        </w:rPr>
        <w:t xml:space="preserve"> investičního rozvojového faktoru</w:t>
      </w:r>
    </w:p>
    <w:p w:rsidR="00451BC3" w:rsidRPr="00393A6A" w:rsidRDefault="00451BC3" w:rsidP="00B55BF7">
      <w:pPr>
        <w:pStyle w:val="Default"/>
        <w:jc w:val="both"/>
        <w:rPr>
          <w:rFonts w:asciiTheme="minorHAnsi" w:hAnsiTheme="minorHAnsi"/>
          <w:sz w:val="28"/>
          <w:szCs w:val="28"/>
        </w:rPr>
      </w:pPr>
    </w:p>
    <w:p w:rsidR="00451BC3" w:rsidRPr="00393A6A" w:rsidRDefault="00EA105A" w:rsidP="00B55BF7">
      <w:pPr>
        <w:pStyle w:val="Default"/>
        <w:jc w:val="both"/>
        <w:rPr>
          <w:rFonts w:asciiTheme="minorHAnsi" w:hAnsiTheme="minorHAnsi"/>
          <w:sz w:val="28"/>
          <w:szCs w:val="28"/>
        </w:rPr>
      </w:pPr>
      <w:r w:rsidRPr="00393A6A">
        <w:rPr>
          <w:rFonts w:asciiTheme="minorHAnsi" w:hAnsiTheme="minorHAnsi"/>
          <w:sz w:val="28"/>
          <w:szCs w:val="28"/>
        </w:rPr>
        <w:t xml:space="preserve">Připomínka </w:t>
      </w:r>
      <w:r w:rsidR="00451BC3" w:rsidRPr="00393A6A">
        <w:rPr>
          <w:rFonts w:asciiTheme="minorHAnsi" w:hAnsiTheme="minorHAnsi"/>
          <w:sz w:val="28"/>
          <w:szCs w:val="28"/>
        </w:rPr>
        <w:t>k ustanovení Přílohy č. 3 n</w:t>
      </w:r>
      <w:r w:rsidR="00B55BF7">
        <w:rPr>
          <w:rFonts w:asciiTheme="minorHAnsi" w:hAnsiTheme="minorHAnsi"/>
          <w:sz w:val="28"/>
          <w:szCs w:val="28"/>
        </w:rPr>
        <w:t>ávrhu vyhlášky o regulaci cen a </w:t>
      </w:r>
      <w:r w:rsidR="00451BC3" w:rsidRPr="00393A6A">
        <w:rPr>
          <w:rFonts w:asciiTheme="minorHAnsi" w:hAnsiTheme="minorHAnsi"/>
          <w:sz w:val="28"/>
          <w:szCs w:val="28"/>
        </w:rPr>
        <w:t>postupech pro regulaci cen v plynárenství (Postup stanovení korekčních faktorů), týkajícímu se výpočtu skutečné hodnoty investičního rozvojového faktoru provozovatele distribuční soustavy pro činnost distribuce plynu pro rok i-2 (KF</w:t>
      </w:r>
      <w:r w:rsidR="00451BC3" w:rsidRPr="00393A6A">
        <w:rPr>
          <w:rFonts w:asciiTheme="minorHAnsi" w:hAnsiTheme="minorHAnsi"/>
          <w:sz w:val="28"/>
          <w:szCs w:val="28"/>
          <w:vertAlign w:val="subscript"/>
        </w:rPr>
        <w:t>dpski-2</w:t>
      </w:r>
      <w:r w:rsidR="00451BC3" w:rsidRPr="00393A6A">
        <w:rPr>
          <w:rFonts w:asciiTheme="minorHAnsi" w:hAnsiTheme="minorHAnsi"/>
          <w:sz w:val="28"/>
          <w:szCs w:val="28"/>
        </w:rPr>
        <w:t>):</w:t>
      </w:r>
    </w:p>
    <w:p w:rsidR="00451BC3" w:rsidRPr="00393A6A" w:rsidRDefault="00451BC3" w:rsidP="00B55BF7">
      <w:pPr>
        <w:pStyle w:val="Default"/>
        <w:jc w:val="both"/>
        <w:rPr>
          <w:rFonts w:asciiTheme="minorHAnsi" w:hAnsiTheme="minorHAnsi"/>
          <w:sz w:val="28"/>
          <w:szCs w:val="28"/>
        </w:rPr>
      </w:pPr>
    </w:p>
    <w:p w:rsidR="00451BC3" w:rsidRPr="00393A6A" w:rsidRDefault="00451BC3" w:rsidP="00B55BF7">
      <w:pPr>
        <w:pStyle w:val="Default"/>
        <w:jc w:val="both"/>
        <w:rPr>
          <w:rFonts w:asciiTheme="minorHAnsi" w:hAnsiTheme="minorHAnsi"/>
          <w:i/>
          <w:iCs/>
          <w:sz w:val="28"/>
          <w:szCs w:val="28"/>
        </w:rPr>
      </w:pPr>
      <w:r w:rsidRPr="00393A6A">
        <w:rPr>
          <w:rFonts w:asciiTheme="minorHAnsi" w:hAnsiTheme="minorHAnsi"/>
          <w:b/>
          <w:i/>
          <w:sz w:val="28"/>
          <w:szCs w:val="28"/>
        </w:rPr>
        <w:t>IRF</w:t>
      </w:r>
      <w:r w:rsidRPr="00393A6A">
        <w:rPr>
          <w:rFonts w:asciiTheme="minorHAnsi" w:hAnsiTheme="minorHAnsi"/>
          <w:b/>
          <w:i/>
          <w:sz w:val="28"/>
          <w:szCs w:val="28"/>
          <w:vertAlign w:val="subscript"/>
        </w:rPr>
        <w:t>dpski-2</w:t>
      </w:r>
      <w:r w:rsidRPr="00393A6A">
        <w:rPr>
          <w:rFonts w:asciiTheme="minorHAnsi" w:hAnsiTheme="minorHAnsi"/>
          <w:b/>
          <w:i/>
          <w:sz w:val="28"/>
          <w:szCs w:val="28"/>
        </w:rPr>
        <w:t xml:space="preserve"> </w:t>
      </w:r>
      <w:r w:rsidRPr="00393A6A">
        <w:rPr>
          <w:rFonts w:asciiTheme="minorHAnsi" w:hAnsiTheme="minorHAnsi"/>
          <w:b/>
          <w:i/>
          <w:iCs/>
          <w:sz w:val="28"/>
          <w:szCs w:val="28"/>
        </w:rPr>
        <w:t xml:space="preserve">[Kč] </w:t>
      </w:r>
      <w:r w:rsidRPr="00393A6A">
        <w:rPr>
          <w:rFonts w:asciiTheme="minorHAnsi" w:hAnsiTheme="minorHAnsi"/>
          <w:i/>
          <w:iCs/>
          <w:sz w:val="28"/>
          <w:szCs w:val="28"/>
        </w:rPr>
        <w:t>je skutečná hodnota investičního rozvojového faktoru provozovatele distribuční soustavy pro činnost distribuce plynu pro rok i-2,</w:t>
      </w:r>
    </w:p>
    <w:p w:rsidR="00451BC3" w:rsidRPr="00393A6A" w:rsidRDefault="00451BC3" w:rsidP="00B55BF7">
      <w:pPr>
        <w:pStyle w:val="Default"/>
        <w:jc w:val="both"/>
        <w:rPr>
          <w:rFonts w:asciiTheme="minorHAnsi" w:hAnsiTheme="minorHAnsi"/>
          <w:sz w:val="28"/>
          <w:szCs w:val="28"/>
        </w:rPr>
      </w:pPr>
    </w:p>
    <w:p w:rsidR="00451BC3" w:rsidRPr="00393A6A" w:rsidRDefault="004578B7" w:rsidP="00B55BF7">
      <w:pPr>
        <w:pStyle w:val="Default"/>
        <w:jc w:val="both"/>
        <w:rPr>
          <w:rFonts w:asciiTheme="minorHAnsi" w:eastAsiaTheme="minorEastAsia" w:hAnsiTheme="minorHAnsi"/>
          <w:sz w:val="28"/>
          <w:szCs w:val="28"/>
        </w:rPr>
      </w:pPr>
      <m:oMathPara>
        <m:oMathParaPr>
          <m:jc m:val="left"/>
        </m:oMathParaPr>
        <m:oMath>
          <m:sSub>
            <m:sSubPr>
              <m:ctrlPr>
                <w:rPr>
                  <w:rFonts w:ascii="Cambria Math" w:hAnsi="Cambria Math"/>
                  <w:i/>
                  <w:sz w:val="28"/>
                  <w:szCs w:val="28"/>
                </w:rPr>
              </m:ctrlPr>
            </m:sSubPr>
            <m:e>
              <m:r>
                <w:rPr>
                  <w:rFonts w:ascii="Cambria Math" w:hAnsi="Cambria Math"/>
                  <w:sz w:val="28"/>
                  <w:szCs w:val="28"/>
                </w:rPr>
                <m:t>IRF</m:t>
              </m:r>
            </m:e>
            <m:sub>
              <m:r>
                <w:rPr>
                  <w:rFonts w:ascii="Cambria Math" w:hAnsi="Cambria Math"/>
                  <w:sz w:val="28"/>
                  <w:szCs w:val="28"/>
                </w:rPr>
                <m:t>dpski-2</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IV</m:t>
                  </m:r>
                </m:e>
                <m:sub>
                  <m:r>
                    <w:rPr>
                      <w:rFonts w:ascii="Cambria Math" w:hAnsi="Cambria Math"/>
                      <w:sz w:val="28"/>
                      <w:szCs w:val="28"/>
                    </w:rPr>
                    <m:t>dpski-2</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dpski-2</m:t>
                  </m:r>
                </m:sub>
              </m:sSub>
            </m:num>
            <m:den>
              <m:r>
                <w:rPr>
                  <w:rFonts w:ascii="Cambria Math" w:hAnsi="Cambria Math"/>
                  <w:sz w:val="28"/>
                  <w:szCs w:val="28"/>
                </w:rPr>
                <m:t>2</m:t>
              </m:r>
            </m:den>
          </m:f>
        </m:oMath>
      </m:oMathPara>
    </w:p>
    <w:p w:rsidR="00451BC3" w:rsidRPr="00393A6A" w:rsidRDefault="00451BC3" w:rsidP="00B55BF7">
      <w:pPr>
        <w:pStyle w:val="Default"/>
        <w:jc w:val="both"/>
        <w:rPr>
          <w:rFonts w:asciiTheme="minorHAnsi" w:eastAsiaTheme="minorEastAsia" w:hAnsiTheme="minorHAnsi"/>
          <w:sz w:val="28"/>
          <w:szCs w:val="28"/>
        </w:rPr>
      </w:pPr>
    </w:p>
    <w:p w:rsidR="00451BC3" w:rsidRPr="00393A6A" w:rsidRDefault="00451BC3" w:rsidP="00B55BF7">
      <w:pPr>
        <w:pStyle w:val="Default"/>
        <w:jc w:val="both"/>
        <w:rPr>
          <w:rFonts w:asciiTheme="minorHAnsi" w:eastAsiaTheme="minorEastAsia" w:hAnsiTheme="minorHAnsi"/>
          <w:sz w:val="28"/>
          <w:szCs w:val="28"/>
        </w:rPr>
      </w:pPr>
      <w:r w:rsidRPr="00393A6A">
        <w:rPr>
          <w:rFonts w:asciiTheme="minorHAnsi" w:eastAsiaTheme="minorEastAsia" w:hAnsiTheme="minorHAnsi"/>
          <w:sz w:val="28"/>
          <w:szCs w:val="28"/>
        </w:rPr>
        <w:t>kde</w:t>
      </w:r>
      <w:r w:rsidR="00B55BF7">
        <w:rPr>
          <w:rFonts w:asciiTheme="minorHAnsi" w:eastAsiaTheme="minorEastAsia" w:hAnsiTheme="minorHAnsi"/>
          <w:sz w:val="28"/>
          <w:szCs w:val="28"/>
        </w:rPr>
        <w:t>:</w:t>
      </w:r>
    </w:p>
    <w:p w:rsidR="00451BC3" w:rsidRPr="00393A6A" w:rsidRDefault="00451BC3" w:rsidP="00B55BF7">
      <w:pPr>
        <w:pStyle w:val="Default"/>
        <w:jc w:val="both"/>
        <w:rPr>
          <w:rFonts w:asciiTheme="minorHAnsi" w:hAnsiTheme="minorHAnsi"/>
          <w:i/>
          <w:iCs/>
          <w:sz w:val="28"/>
          <w:szCs w:val="28"/>
        </w:rPr>
      </w:pPr>
      <w:r w:rsidRPr="00393A6A">
        <w:rPr>
          <w:rFonts w:asciiTheme="minorHAnsi" w:hAnsiTheme="minorHAnsi"/>
          <w:b/>
          <w:i/>
          <w:sz w:val="28"/>
          <w:szCs w:val="28"/>
        </w:rPr>
        <w:t>IV</w:t>
      </w:r>
      <w:r w:rsidRPr="00393A6A">
        <w:rPr>
          <w:rFonts w:asciiTheme="minorHAnsi" w:hAnsiTheme="minorHAnsi"/>
          <w:b/>
          <w:i/>
          <w:sz w:val="28"/>
          <w:szCs w:val="28"/>
          <w:vertAlign w:val="subscript"/>
        </w:rPr>
        <w:t>dpski-2</w:t>
      </w:r>
      <w:r w:rsidRPr="00393A6A">
        <w:rPr>
          <w:rFonts w:asciiTheme="minorHAnsi" w:hAnsiTheme="minorHAnsi"/>
          <w:b/>
          <w:i/>
          <w:sz w:val="28"/>
          <w:szCs w:val="28"/>
        </w:rPr>
        <w:t xml:space="preserve"> </w:t>
      </w:r>
      <w:r w:rsidRPr="00393A6A">
        <w:rPr>
          <w:rFonts w:asciiTheme="minorHAnsi" w:hAnsiTheme="minorHAnsi"/>
          <w:b/>
          <w:i/>
          <w:iCs/>
          <w:sz w:val="28"/>
          <w:szCs w:val="28"/>
        </w:rPr>
        <w:t xml:space="preserve">[Kč] </w:t>
      </w:r>
      <w:r w:rsidRPr="00393A6A">
        <w:rPr>
          <w:rFonts w:asciiTheme="minorHAnsi" w:hAnsiTheme="minorHAnsi"/>
          <w:i/>
          <w:iCs/>
          <w:sz w:val="28"/>
          <w:szCs w:val="28"/>
        </w:rPr>
        <w:t>je skutečná hodnota investičních výdajů provozovatele distribuční soustavy v rámci licencované činnosti distribuce plynu související s rozvojem d</w:t>
      </w:r>
      <w:r w:rsidR="00B55BF7">
        <w:rPr>
          <w:rFonts w:asciiTheme="minorHAnsi" w:hAnsiTheme="minorHAnsi"/>
          <w:i/>
          <w:iCs/>
          <w:sz w:val="28"/>
          <w:szCs w:val="28"/>
        </w:rPr>
        <w:t>istribuční soustavy pro rok i-2.</w:t>
      </w:r>
    </w:p>
    <w:p w:rsidR="00451BC3" w:rsidRPr="00393A6A" w:rsidRDefault="00451BC3" w:rsidP="00B55BF7">
      <w:pPr>
        <w:pStyle w:val="Default"/>
        <w:jc w:val="both"/>
        <w:rPr>
          <w:rFonts w:asciiTheme="minorHAnsi" w:eastAsiaTheme="minorEastAsia" w:hAnsiTheme="minorHAnsi"/>
          <w:sz w:val="28"/>
          <w:szCs w:val="28"/>
        </w:rPr>
      </w:pPr>
    </w:p>
    <w:p w:rsidR="00451BC3" w:rsidRPr="00393A6A" w:rsidRDefault="00451BC3" w:rsidP="00B55BF7">
      <w:pPr>
        <w:pStyle w:val="Default"/>
        <w:keepNext/>
        <w:jc w:val="both"/>
        <w:rPr>
          <w:rFonts w:asciiTheme="minorHAnsi" w:hAnsiTheme="minorHAnsi"/>
          <w:sz w:val="28"/>
          <w:szCs w:val="28"/>
          <w:u w:val="single"/>
        </w:rPr>
      </w:pPr>
      <w:r w:rsidRPr="00393A6A">
        <w:rPr>
          <w:rFonts w:asciiTheme="minorHAnsi" w:hAnsiTheme="minorHAnsi"/>
          <w:sz w:val="28"/>
          <w:szCs w:val="28"/>
          <w:u w:val="single"/>
        </w:rPr>
        <w:t>Odůvodnění připomínky:</w:t>
      </w:r>
    </w:p>
    <w:p w:rsidR="00451BC3" w:rsidRPr="00393A6A" w:rsidRDefault="00451BC3" w:rsidP="00B55BF7">
      <w:pPr>
        <w:pStyle w:val="Default"/>
        <w:jc w:val="both"/>
        <w:rPr>
          <w:rFonts w:asciiTheme="minorHAnsi" w:hAnsiTheme="minorHAnsi"/>
          <w:sz w:val="28"/>
          <w:szCs w:val="28"/>
        </w:rPr>
      </w:pPr>
      <w:r w:rsidRPr="00393A6A">
        <w:rPr>
          <w:rFonts w:asciiTheme="minorHAnsi" w:hAnsiTheme="minorHAnsi"/>
          <w:sz w:val="28"/>
          <w:szCs w:val="28"/>
        </w:rPr>
        <w:t>Uvedený způsob výpočtu je chybný, neboť od investic souvisejících s rozvojem distribuční soustavy odečítá celkové odpis</w:t>
      </w:r>
      <w:r w:rsidR="00B55BF7">
        <w:rPr>
          <w:rFonts w:asciiTheme="minorHAnsi" w:hAnsiTheme="minorHAnsi"/>
          <w:sz w:val="28"/>
          <w:szCs w:val="28"/>
        </w:rPr>
        <w:t>y dlouhodobého hmotného a </w:t>
      </w:r>
      <w:r w:rsidRPr="00393A6A">
        <w:rPr>
          <w:rFonts w:asciiTheme="minorHAnsi" w:hAnsiTheme="minorHAnsi"/>
          <w:sz w:val="28"/>
          <w:szCs w:val="28"/>
        </w:rPr>
        <w:t xml:space="preserve">nehmotného majetku provozovatele distribuční soustavy sloužícího k zajištění distribuce plynu v roce i-2. Vzhledem k objemu rozvojových investic (zejména odkupy sítí) </w:t>
      </w:r>
      <w:r w:rsidR="007C1EE6" w:rsidRPr="00393A6A">
        <w:rPr>
          <w:rFonts w:asciiTheme="minorHAnsi" w:hAnsiTheme="minorHAnsi"/>
          <w:sz w:val="28"/>
          <w:szCs w:val="28"/>
        </w:rPr>
        <w:t>společností</w:t>
      </w:r>
      <w:r w:rsidRPr="00393A6A">
        <w:rPr>
          <w:rFonts w:asciiTheme="minorHAnsi" w:hAnsiTheme="minorHAnsi"/>
          <w:sz w:val="28"/>
          <w:szCs w:val="28"/>
        </w:rPr>
        <w:t xml:space="preserve"> by výsledkem byla vždy záporná hodnota. Z toho důvodu navrhujeme změnit definici ukazatele skutečné hodnoty investičních výdajů provozovatele distribuční soustavy související s rozvojem (IV</w:t>
      </w:r>
      <w:r w:rsidRPr="00393A6A">
        <w:rPr>
          <w:rFonts w:asciiTheme="minorHAnsi" w:hAnsiTheme="minorHAnsi"/>
          <w:sz w:val="28"/>
          <w:szCs w:val="28"/>
          <w:vertAlign w:val="subscript"/>
        </w:rPr>
        <w:t>dpski-2</w:t>
      </w:r>
      <w:r w:rsidRPr="00393A6A">
        <w:rPr>
          <w:rFonts w:asciiTheme="minorHAnsi" w:hAnsiTheme="minorHAnsi"/>
          <w:sz w:val="28"/>
          <w:szCs w:val="28"/>
        </w:rPr>
        <w:t xml:space="preserve">), za </w:t>
      </w:r>
      <w:r w:rsidRPr="00393A6A">
        <w:rPr>
          <w:rFonts w:asciiTheme="minorHAnsi" w:hAnsiTheme="minorHAnsi"/>
          <w:sz w:val="28"/>
          <w:szCs w:val="28"/>
        </w:rPr>
        <w:lastRenderedPageBreak/>
        <w:t>ukazatel skutečné celkové hodnoty investičních výdajů. Zároveň uvádíme, že nejsme v našich informačních systémech schopni izolovaně sledovat odpisy z investic souvisejících pouze s rozvojem distribuční soustavy.</w:t>
      </w:r>
    </w:p>
    <w:p w:rsidR="00FC32E1" w:rsidRPr="00393A6A" w:rsidRDefault="00451BC3" w:rsidP="00B55BF7">
      <w:pPr>
        <w:autoSpaceDE w:val="0"/>
        <w:autoSpaceDN w:val="0"/>
        <w:adjustRightInd w:val="0"/>
        <w:spacing w:after="0" w:line="240" w:lineRule="auto"/>
        <w:jc w:val="both"/>
        <w:rPr>
          <w:rFonts w:cs="Arial"/>
          <w:sz w:val="28"/>
          <w:szCs w:val="28"/>
        </w:rPr>
      </w:pPr>
      <w:r w:rsidRPr="00393A6A">
        <w:rPr>
          <w:sz w:val="28"/>
          <w:szCs w:val="28"/>
        </w:rPr>
        <w:t>S ohledem na povahu Investičního rozvojového faktoru dále navrhujeme limit hodnoty skutečného Investičního rozvojového faktoru (IRF</w:t>
      </w:r>
      <w:r w:rsidRPr="00393A6A">
        <w:rPr>
          <w:sz w:val="28"/>
          <w:szCs w:val="28"/>
          <w:vertAlign w:val="subscript"/>
        </w:rPr>
        <w:t>dpski-2</w:t>
      </w:r>
      <w:r w:rsidRPr="00393A6A">
        <w:rPr>
          <w:sz w:val="28"/>
          <w:szCs w:val="28"/>
        </w:rPr>
        <w:t>), který zajistí, aby hodnota Korekčního faktoru investičního rozvojového faktoru (</w:t>
      </w:r>
      <w:r w:rsidRPr="00393A6A">
        <w:rPr>
          <w:bCs/>
          <w:sz w:val="28"/>
          <w:szCs w:val="28"/>
        </w:rPr>
        <w:t>KF</w:t>
      </w:r>
      <w:r w:rsidRPr="00393A6A">
        <w:rPr>
          <w:bCs/>
          <w:sz w:val="28"/>
          <w:szCs w:val="28"/>
          <w:vertAlign w:val="subscript"/>
        </w:rPr>
        <w:t>dpirfi</w:t>
      </w:r>
      <w:r w:rsidRPr="00393A6A">
        <w:rPr>
          <w:bCs/>
          <w:sz w:val="28"/>
          <w:szCs w:val="28"/>
        </w:rPr>
        <w:t>)</w:t>
      </w:r>
      <w:r w:rsidRPr="00393A6A">
        <w:rPr>
          <w:sz w:val="28"/>
          <w:szCs w:val="28"/>
        </w:rPr>
        <w:t xml:space="preserve"> mohla nabývat maximálně výše původně přiznaného plánovaného Investičního rozvojového faktoru (IRF</w:t>
      </w:r>
      <w:r w:rsidRPr="00393A6A">
        <w:rPr>
          <w:sz w:val="28"/>
          <w:szCs w:val="28"/>
          <w:vertAlign w:val="subscript"/>
        </w:rPr>
        <w:t>dppli</w:t>
      </w:r>
      <w:r w:rsidRPr="00393A6A">
        <w:rPr>
          <w:sz w:val="28"/>
          <w:szCs w:val="28"/>
        </w:rPr>
        <w:t>).</w:t>
      </w:r>
      <w:r w:rsidR="00FC32E1" w:rsidRPr="00393A6A">
        <w:rPr>
          <w:rFonts w:cs="Arial"/>
          <w:b/>
          <w:sz w:val="28"/>
          <w:szCs w:val="28"/>
        </w:rPr>
        <w:t xml:space="preserve"> </w:t>
      </w:r>
      <w:r w:rsidR="00FC32E1" w:rsidRPr="00393A6A">
        <w:rPr>
          <w:rFonts w:cs="Arial"/>
          <w:sz w:val="28"/>
          <w:szCs w:val="28"/>
        </w:rPr>
        <w:t>Beze změny postupů stanovení těchto korekčních faktorů nelze souhlasit se zavedením investičního rozvojového faktoru.</w:t>
      </w:r>
    </w:p>
    <w:p w:rsidR="00451BC3" w:rsidRPr="00393A6A" w:rsidRDefault="00451BC3" w:rsidP="00B55BF7">
      <w:pPr>
        <w:pStyle w:val="Default"/>
        <w:jc w:val="both"/>
        <w:rPr>
          <w:rFonts w:asciiTheme="minorHAnsi" w:hAnsiTheme="minorHAnsi"/>
          <w:sz w:val="28"/>
          <w:szCs w:val="28"/>
        </w:rPr>
      </w:pPr>
    </w:p>
    <w:p w:rsidR="00451BC3" w:rsidRPr="00393A6A" w:rsidRDefault="00451BC3" w:rsidP="00B55BF7">
      <w:pPr>
        <w:pStyle w:val="Default"/>
        <w:keepNext/>
        <w:jc w:val="both"/>
        <w:rPr>
          <w:rFonts w:asciiTheme="minorHAnsi" w:hAnsiTheme="minorHAnsi"/>
          <w:sz w:val="28"/>
          <w:szCs w:val="28"/>
          <w:u w:val="single"/>
        </w:rPr>
      </w:pPr>
      <w:r w:rsidRPr="00393A6A">
        <w:rPr>
          <w:rFonts w:asciiTheme="minorHAnsi" w:hAnsiTheme="minorHAnsi"/>
          <w:sz w:val="28"/>
          <w:szCs w:val="28"/>
          <w:u w:val="single"/>
        </w:rPr>
        <w:t>Návrh promítnutí připomínky do návrhu vyhlášky:</w:t>
      </w:r>
    </w:p>
    <w:p w:rsidR="00451BC3" w:rsidRPr="00393A6A" w:rsidRDefault="00451BC3" w:rsidP="00B55BF7">
      <w:pPr>
        <w:pStyle w:val="Default"/>
        <w:jc w:val="both"/>
        <w:rPr>
          <w:rFonts w:asciiTheme="minorHAnsi" w:hAnsiTheme="minorHAnsi"/>
          <w:sz w:val="28"/>
          <w:szCs w:val="28"/>
        </w:rPr>
      </w:pPr>
      <w:r w:rsidRPr="00393A6A">
        <w:rPr>
          <w:rFonts w:asciiTheme="minorHAnsi" w:hAnsiTheme="minorHAnsi"/>
          <w:sz w:val="28"/>
          <w:szCs w:val="28"/>
        </w:rPr>
        <w:t>Navrhujeme následující úpravu v Příloze č. 3 regulační vyhlášky:</w:t>
      </w:r>
    </w:p>
    <w:p w:rsidR="00451BC3" w:rsidRPr="00393A6A" w:rsidRDefault="00451BC3" w:rsidP="00B55BF7">
      <w:pPr>
        <w:pStyle w:val="Default"/>
        <w:jc w:val="both"/>
        <w:rPr>
          <w:rFonts w:asciiTheme="minorHAnsi" w:hAnsiTheme="minorHAnsi"/>
          <w:sz w:val="28"/>
          <w:szCs w:val="28"/>
          <w:u w:val="single"/>
        </w:rPr>
      </w:pPr>
    </w:p>
    <w:p w:rsidR="00451BC3" w:rsidRPr="00393A6A" w:rsidRDefault="00451BC3" w:rsidP="00B55BF7">
      <w:pPr>
        <w:pStyle w:val="Default"/>
        <w:jc w:val="both"/>
        <w:rPr>
          <w:rFonts w:asciiTheme="minorHAnsi" w:hAnsiTheme="minorHAnsi"/>
          <w:i/>
          <w:iCs/>
          <w:sz w:val="28"/>
          <w:szCs w:val="28"/>
        </w:rPr>
      </w:pPr>
      <w:r w:rsidRPr="00393A6A">
        <w:rPr>
          <w:rFonts w:asciiTheme="minorHAnsi" w:hAnsiTheme="minorHAnsi"/>
          <w:b/>
          <w:i/>
          <w:sz w:val="28"/>
          <w:szCs w:val="28"/>
        </w:rPr>
        <w:t>IRF</w:t>
      </w:r>
      <w:r w:rsidRPr="00393A6A">
        <w:rPr>
          <w:rFonts w:asciiTheme="minorHAnsi" w:hAnsiTheme="minorHAnsi"/>
          <w:b/>
          <w:i/>
          <w:sz w:val="28"/>
          <w:szCs w:val="28"/>
          <w:vertAlign w:val="subscript"/>
        </w:rPr>
        <w:t>dpski-2</w:t>
      </w:r>
      <w:r w:rsidRPr="00393A6A">
        <w:rPr>
          <w:rFonts w:asciiTheme="minorHAnsi" w:hAnsiTheme="minorHAnsi"/>
          <w:b/>
          <w:i/>
          <w:sz w:val="28"/>
          <w:szCs w:val="28"/>
        </w:rPr>
        <w:t xml:space="preserve"> </w:t>
      </w:r>
      <w:r w:rsidRPr="00393A6A">
        <w:rPr>
          <w:rFonts w:asciiTheme="minorHAnsi" w:hAnsiTheme="minorHAnsi"/>
          <w:b/>
          <w:i/>
          <w:iCs/>
          <w:sz w:val="28"/>
          <w:szCs w:val="28"/>
        </w:rPr>
        <w:t xml:space="preserve">[Kč] </w:t>
      </w:r>
      <w:r w:rsidRPr="00393A6A">
        <w:rPr>
          <w:rFonts w:asciiTheme="minorHAnsi" w:hAnsiTheme="minorHAnsi"/>
          <w:i/>
          <w:iCs/>
          <w:sz w:val="28"/>
          <w:szCs w:val="28"/>
        </w:rPr>
        <w:t xml:space="preserve">je skutečná hodnota investičního rozvojového faktoru provozovatele distribuční soustavy pro činnost distribuce plynu pro rok i-2, </w:t>
      </w:r>
      <w:r w:rsidRPr="00393A6A">
        <w:rPr>
          <w:rFonts w:asciiTheme="minorHAnsi" w:hAnsiTheme="minorHAnsi"/>
          <w:b/>
          <w:i/>
          <w:iCs/>
          <w:sz w:val="28"/>
          <w:szCs w:val="28"/>
        </w:rPr>
        <w:t>pokud je jeho hodnota menší než 0, použije se pro potřeby výpočtu 0,</w:t>
      </w:r>
    </w:p>
    <w:p w:rsidR="00451BC3" w:rsidRPr="00393A6A" w:rsidRDefault="00451BC3" w:rsidP="00B55BF7">
      <w:pPr>
        <w:pStyle w:val="Default"/>
        <w:jc w:val="both"/>
        <w:rPr>
          <w:rFonts w:asciiTheme="minorHAnsi" w:hAnsiTheme="minorHAnsi"/>
          <w:i/>
          <w:iCs/>
          <w:sz w:val="28"/>
          <w:szCs w:val="28"/>
        </w:rPr>
      </w:pPr>
    </w:p>
    <w:p w:rsidR="00451BC3" w:rsidRPr="00393A6A" w:rsidRDefault="00451BC3" w:rsidP="00B55BF7">
      <w:pPr>
        <w:pStyle w:val="Default"/>
        <w:jc w:val="both"/>
        <w:rPr>
          <w:rFonts w:asciiTheme="minorHAnsi" w:hAnsiTheme="minorHAnsi"/>
          <w:sz w:val="28"/>
          <w:szCs w:val="28"/>
        </w:rPr>
      </w:pPr>
    </w:p>
    <w:p w:rsidR="00451BC3" w:rsidRPr="00393A6A" w:rsidRDefault="004578B7" w:rsidP="00B55BF7">
      <w:pPr>
        <w:pStyle w:val="Default"/>
        <w:jc w:val="both"/>
        <w:rPr>
          <w:rFonts w:asciiTheme="minorHAnsi" w:eastAsiaTheme="minorEastAsia" w:hAnsiTheme="minorHAnsi"/>
          <w:sz w:val="28"/>
          <w:szCs w:val="28"/>
        </w:rPr>
      </w:pPr>
      <m:oMathPara>
        <m:oMathParaPr>
          <m:jc m:val="left"/>
        </m:oMathParaPr>
        <m:oMath>
          <m:sSub>
            <m:sSubPr>
              <m:ctrlPr>
                <w:rPr>
                  <w:rFonts w:ascii="Cambria Math" w:hAnsi="Cambria Math"/>
                  <w:i/>
                  <w:sz w:val="28"/>
                  <w:szCs w:val="28"/>
                </w:rPr>
              </m:ctrlPr>
            </m:sSubPr>
            <m:e>
              <m:r>
                <w:rPr>
                  <w:rFonts w:ascii="Cambria Math" w:hAnsi="Cambria Math"/>
                  <w:sz w:val="28"/>
                  <w:szCs w:val="28"/>
                </w:rPr>
                <m:t>IRF</m:t>
              </m:r>
            </m:e>
            <m:sub>
              <m:r>
                <w:rPr>
                  <w:rFonts w:ascii="Cambria Math" w:hAnsi="Cambria Math"/>
                  <w:sz w:val="28"/>
                  <w:szCs w:val="28"/>
                </w:rPr>
                <m:t>dpski-2</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IV</m:t>
                  </m:r>
                </m:e>
                <m:sub>
                  <m:r>
                    <w:rPr>
                      <w:rFonts w:ascii="Cambria Math" w:hAnsi="Cambria Math"/>
                      <w:sz w:val="28"/>
                      <w:szCs w:val="28"/>
                    </w:rPr>
                    <m:t>dpski-2</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dpski-2</m:t>
                  </m:r>
                </m:sub>
              </m:sSub>
            </m:num>
            <m:den>
              <m:r>
                <w:rPr>
                  <w:rFonts w:ascii="Cambria Math" w:hAnsi="Cambria Math"/>
                  <w:sz w:val="28"/>
                  <w:szCs w:val="28"/>
                </w:rPr>
                <m:t>2</m:t>
              </m:r>
            </m:den>
          </m:f>
        </m:oMath>
      </m:oMathPara>
    </w:p>
    <w:p w:rsidR="00451BC3" w:rsidRPr="00393A6A" w:rsidRDefault="00451BC3" w:rsidP="00B55BF7">
      <w:pPr>
        <w:pStyle w:val="Default"/>
        <w:jc w:val="both"/>
        <w:rPr>
          <w:rFonts w:asciiTheme="minorHAnsi" w:eastAsiaTheme="minorEastAsia" w:hAnsiTheme="minorHAnsi"/>
          <w:sz w:val="28"/>
          <w:szCs w:val="28"/>
        </w:rPr>
      </w:pPr>
    </w:p>
    <w:p w:rsidR="00451BC3" w:rsidRPr="00393A6A" w:rsidRDefault="00451BC3" w:rsidP="00B55BF7">
      <w:pPr>
        <w:pStyle w:val="Default"/>
        <w:jc w:val="both"/>
        <w:rPr>
          <w:rFonts w:asciiTheme="minorHAnsi" w:eastAsiaTheme="minorEastAsia" w:hAnsiTheme="minorHAnsi"/>
          <w:sz w:val="28"/>
          <w:szCs w:val="28"/>
        </w:rPr>
      </w:pPr>
      <w:r w:rsidRPr="00393A6A">
        <w:rPr>
          <w:rFonts w:asciiTheme="minorHAnsi" w:eastAsiaTheme="minorEastAsia" w:hAnsiTheme="minorHAnsi"/>
          <w:sz w:val="28"/>
          <w:szCs w:val="28"/>
        </w:rPr>
        <w:t>kde</w:t>
      </w:r>
      <w:r w:rsidR="00B55BF7">
        <w:rPr>
          <w:rFonts w:asciiTheme="minorHAnsi" w:eastAsiaTheme="minorEastAsia" w:hAnsiTheme="minorHAnsi"/>
          <w:sz w:val="28"/>
          <w:szCs w:val="28"/>
        </w:rPr>
        <w:t>:</w:t>
      </w:r>
    </w:p>
    <w:p w:rsidR="00451BC3" w:rsidRPr="00393A6A" w:rsidRDefault="00451BC3" w:rsidP="00B55BF7">
      <w:pPr>
        <w:pStyle w:val="Default"/>
        <w:jc w:val="both"/>
        <w:rPr>
          <w:rFonts w:asciiTheme="minorHAnsi" w:hAnsiTheme="minorHAnsi"/>
          <w:i/>
          <w:iCs/>
          <w:sz w:val="28"/>
          <w:szCs w:val="28"/>
        </w:rPr>
      </w:pPr>
      <w:r w:rsidRPr="00393A6A">
        <w:rPr>
          <w:rFonts w:asciiTheme="minorHAnsi" w:hAnsiTheme="minorHAnsi"/>
          <w:b/>
          <w:i/>
          <w:sz w:val="28"/>
          <w:szCs w:val="28"/>
        </w:rPr>
        <w:t>IV</w:t>
      </w:r>
      <w:r w:rsidRPr="00393A6A">
        <w:rPr>
          <w:rFonts w:asciiTheme="minorHAnsi" w:hAnsiTheme="minorHAnsi"/>
          <w:b/>
          <w:i/>
          <w:sz w:val="28"/>
          <w:szCs w:val="28"/>
          <w:vertAlign w:val="subscript"/>
        </w:rPr>
        <w:t>dpski-2</w:t>
      </w:r>
      <w:r w:rsidRPr="00393A6A">
        <w:rPr>
          <w:rFonts w:asciiTheme="minorHAnsi" w:hAnsiTheme="minorHAnsi"/>
          <w:b/>
          <w:i/>
          <w:sz w:val="28"/>
          <w:szCs w:val="28"/>
        </w:rPr>
        <w:t xml:space="preserve"> </w:t>
      </w:r>
      <w:r w:rsidRPr="00393A6A">
        <w:rPr>
          <w:rFonts w:asciiTheme="minorHAnsi" w:hAnsiTheme="minorHAnsi"/>
          <w:b/>
          <w:i/>
          <w:iCs/>
          <w:sz w:val="28"/>
          <w:szCs w:val="28"/>
        </w:rPr>
        <w:t xml:space="preserve">[Kč] </w:t>
      </w:r>
      <w:r w:rsidRPr="00393A6A">
        <w:rPr>
          <w:rFonts w:asciiTheme="minorHAnsi" w:hAnsiTheme="minorHAnsi"/>
          <w:i/>
          <w:iCs/>
          <w:sz w:val="28"/>
          <w:szCs w:val="28"/>
        </w:rPr>
        <w:t>je skutečná hodnota celkových investičních výdajů provozovatele distribuční soustavy v rámci licencované činnos</w:t>
      </w:r>
      <w:r w:rsidR="00EA105A" w:rsidRPr="00393A6A">
        <w:rPr>
          <w:rFonts w:asciiTheme="minorHAnsi" w:hAnsiTheme="minorHAnsi"/>
          <w:i/>
          <w:iCs/>
          <w:sz w:val="28"/>
          <w:szCs w:val="28"/>
        </w:rPr>
        <w:t>ti distribuce plynu pro rok i-2.</w:t>
      </w:r>
    </w:p>
    <w:p w:rsidR="007C1EE6" w:rsidRPr="00393A6A" w:rsidRDefault="007C1EE6" w:rsidP="00B55BF7">
      <w:pPr>
        <w:pStyle w:val="Default"/>
        <w:jc w:val="both"/>
        <w:rPr>
          <w:rFonts w:asciiTheme="minorHAnsi" w:hAnsiTheme="minorHAnsi"/>
          <w:i/>
          <w:iCs/>
          <w:sz w:val="28"/>
          <w:szCs w:val="28"/>
        </w:rPr>
      </w:pPr>
    </w:p>
    <w:p w:rsidR="00E5652F" w:rsidRDefault="007C1EE6">
      <w:pPr>
        <w:pStyle w:val="Odstavecseseznamem"/>
        <w:keepNext/>
        <w:numPr>
          <w:ilvl w:val="0"/>
          <w:numId w:val="1"/>
        </w:numPr>
        <w:tabs>
          <w:tab w:val="left" w:pos="567"/>
        </w:tabs>
        <w:spacing w:before="240" w:after="120" w:line="240" w:lineRule="auto"/>
        <w:ind w:left="0" w:firstLine="0"/>
        <w:contextualSpacing w:val="0"/>
        <w:jc w:val="both"/>
        <w:rPr>
          <w:sz w:val="28"/>
          <w:szCs w:val="28"/>
        </w:rPr>
      </w:pPr>
      <w:r w:rsidRPr="00393A6A">
        <w:rPr>
          <w:sz w:val="28"/>
          <w:szCs w:val="28"/>
        </w:rPr>
        <w:t>Připomínka k ustanovení Přílohy č. 3 n</w:t>
      </w:r>
      <w:r w:rsidR="00B55BF7">
        <w:rPr>
          <w:sz w:val="28"/>
          <w:szCs w:val="28"/>
        </w:rPr>
        <w:t>ávrhu vyhlášky o regulaci cen a </w:t>
      </w:r>
      <w:r w:rsidRPr="00393A6A">
        <w:rPr>
          <w:sz w:val="28"/>
          <w:szCs w:val="28"/>
        </w:rPr>
        <w:t>postupech pro regulaci cen v plynárenství (Postup stanovení korekčních faktorů), týkajícímu se výpočtu korekčního faktoru pro činnost distribuce plynu (KF</w:t>
      </w:r>
      <w:r w:rsidR="006972B5" w:rsidRPr="006972B5">
        <w:rPr>
          <w:sz w:val="28"/>
          <w:szCs w:val="28"/>
        </w:rPr>
        <w:t>dpi</w:t>
      </w:r>
      <w:r w:rsidRPr="00393A6A">
        <w:rPr>
          <w:sz w:val="28"/>
          <w:szCs w:val="28"/>
        </w:rPr>
        <w:t>).</w:t>
      </w:r>
    </w:p>
    <w:p w:rsidR="007C1EE6" w:rsidRPr="00393A6A" w:rsidRDefault="007C1EE6" w:rsidP="00B55BF7">
      <w:pPr>
        <w:pStyle w:val="Default"/>
        <w:jc w:val="both"/>
        <w:rPr>
          <w:rFonts w:asciiTheme="minorHAnsi" w:hAnsiTheme="minorHAnsi"/>
          <w:sz w:val="28"/>
          <w:szCs w:val="28"/>
        </w:rPr>
      </w:pPr>
    </w:p>
    <w:p w:rsidR="007C1EE6" w:rsidRPr="00393A6A" w:rsidRDefault="004578B7" w:rsidP="00B55BF7">
      <w:pPr>
        <w:pStyle w:val="Default"/>
        <w:jc w:val="both"/>
        <w:rPr>
          <w:rFonts w:asciiTheme="minorHAnsi" w:hAnsiTheme="minorHAnsi"/>
          <w:sz w:val="28"/>
          <w:szCs w:val="28"/>
        </w:rPr>
      </w:pPr>
      <m:oMathPara>
        <m:oMathParaPr>
          <m:jc m:val="left"/>
        </m:oMathParaPr>
        <m:oMath>
          <m:sSub>
            <m:sSubPr>
              <m:ctrlPr>
                <w:rPr>
                  <w:rFonts w:ascii="Cambria Math" w:hAnsi="Cambria Math"/>
                  <w:i/>
                  <w:sz w:val="28"/>
                  <w:szCs w:val="28"/>
                </w:rPr>
              </m:ctrlPr>
            </m:sSubPr>
            <m:e>
              <m:r>
                <w:rPr>
                  <w:rFonts w:ascii="Cambria Math" w:hAnsi="Cambria Math"/>
                  <w:sz w:val="28"/>
                  <w:szCs w:val="28"/>
                </w:rPr>
                <m:t>KF</m:t>
              </m:r>
            </m:e>
            <m:sub>
              <m:r>
                <w:rPr>
                  <w:rFonts w:ascii="Cambria Math" w:hAnsi="Cambria Math"/>
                  <w:sz w:val="28"/>
                  <w:szCs w:val="28"/>
                </w:rPr>
                <m:t>dpi-2</m:t>
              </m:r>
            </m:sub>
          </m:sSub>
          <m:r>
            <w:rPr>
              <w:rFonts w:ascii="Cambria Math" w:hAnsi="Cambria Math"/>
              <w:sz w:val="28"/>
              <w:szCs w:val="28"/>
            </w:rPr>
            <m:t xml:space="preserve">= </m:t>
          </m:r>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PV</m:t>
                  </m:r>
                </m:e>
                <m:sub>
                  <m:r>
                    <w:rPr>
                      <w:rFonts w:ascii="Cambria Math" w:hAnsi="Cambria Math"/>
                      <w:sz w:val="28"/>
                      <w:szCs w:val="28"/>
                    </w:rPr>
                    <m:t>dpi-2</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KF</m:t>
                  </m:r>
                </m:e>
                <m:sub>
                  <m:r>
                    <w:rPr>
                      <w:rFonts w:ascii="Cambria Math" w:hAnsi="Cambria Math"/>
                      <w:sz w:val="28"/>
                      <w:szCs w:val="28"/>
                    </w:rPr>
                    <m:t>dpi-2</m:t>
                  </m:r>
                </m:sub>
              </m:sSub>
              <m:r>
                <w:rPr>
                  <w:rFonts w:ascii="Cambria Math" w:hAnsi="Cambria Math"/>
                  <w:sz w:val="28"/>
                  <w:szCs w:val="28"/>
                </w:rPr>
                <m:t xml:space="preserve"> + </m:t>
              </m:r>
              <m:sSub>
                <m:sSubPr>
                  <m:ctrlPr>
                    <w:rPr>
                      <w:rFonts w:ascii="Cambria Math" w:hAnsi="Cambria Math"/>
                      <w:i/>
                      <w:sz w:val="28"/>
                      <w:szCs w:val="28"/>
                    </w:rPr>
                  </m:ctrlPr>
                </m:sSubPr>
                <m:e>
                  <m:r>
                    <w:rPr>
                      <w:rFonts w:ascii="Cambria Math" w:hAnsi="Cambria Math"/>
                      <w:sz w:val="28"/>
                      <w:szCs w:val="28"/>
                    </w:rPr>
                    <m:t>NZ</m:t>
                  </m:r>
                </m:e>
                <m:sub>
                  <m:r>
                    <w:rPr>
                      <w:rFonts w:ascii="Cambria Math" w:hAnsi="Cambria Math"/>
                      <w:sz w:val="28"/>
                      <w:szCs w:val="28"/>
                    </w:rPr>
                    <m:t>dpi-2</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NVS</m:t>
                  </m:r>
                </m:e>
                <m:sub>
                  <m:r>
                    <w:rPr>
                      <w:rFonts w:ascii="Cambria Math" w:hAnsi="Cambria Math"/>
                      <w:sz w:val="28"/>
                      <w:szCs w:val="28"/>
                    </w:rPr>
                    <m:t>dpi-2</m:t>
                  </m:r>
                </m:sub>
              </m:sSub>
              <m:r>
                <w:rPr>
                  <w:rFonts w:ascii="Cambria Math" w:hAnsi="Cambria Math"/>
                  <w:sz w:val="28"/>
                  <w:szCs w:val="28"/>
                </w:rPr>
                <m:t xml:space="preserve"> + </m:t>
              </m:r>
              <m:sSub>
                <m:sSubPr>
                  <m:ctrlPr>
                    <w:rPr>
                      <w:rFonts w:ascii="Cambria Math" w:hAnsi="Cambria Math"/>
                      <w:i/>
                      <w:sz w:val="28"/>
                      <w:szCs w:val="28"/>
                    </w:rPr>
                  </m:ctrlPr>
                </m:sSubPr>
                <m:e>
                  <m:r>
                    <w:rPr>
                      <w:rFonts w:ascii="Cambria Math" w:hAnsi="Cambria Math"/>
                      <w:sz w:val="28"/>
                      <w:szCs w:val="28"/>
                    </w:rPr>
                    <m:t>ND</m:t>
                  </m:r>
                </m:e>
                <m:sub>
                  <m:r>
                    <w:rPr>
                      <w:rFonts w:ascii="Cambria Math" w:hAnsi="Cambria Math"/>
                      <w:sz w:val="28"/>
                      <w:szCs w:val="28"/>
                    </w:rPr>
                    <m:t>dpi-2</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NP</m:t>
                  </m:r>
                </m:e>
                <m:sub>
                  <m:r>
                    <w:rPr>
                      <w:rFonts w:ascii="Cambria Math" w:hAnsi="Cambria Math"/>
                      <w:sz w:val="28"/>
                      <w:szCs w:val="28"/>
                    </w:rPr>
                    <m:t>dpi-2</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CT</m:t>
                  </m:r>
                </m:e>
                <m:sub>
                  <m:r>
                    <w:rPr>
                      <w:rFonts w:ascii="Cambria Math" w:hAnsi="Cambria Math"/>
                      <w:sz w:val="28"/>
                      <w:szCs w:val="28"/>
                    </w:rPr>
                    <m:t>dpi-2</m:t>
                  </m:r>
                </m:sub>
              </m:sSub>
            </m:e>
          </m:d>
          <m:r>
            <w:rPr>
              <w:rFonts w:ascii="Cambria Math" w:hAnsi="Cambria Math"/>
              <w:sz w:val="28"/>
              <w:szCs w:val="28"/>
            </w:rPr>
            <m:t xml:space="preserve"> ×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CPI</m:t>
                  </m:r>
                </m:e>
                <m:sub>
                  <m:r>
                    <w:rPr>
                      <w:rFonts w:ascii="Cambria Math" w:hAnsi="Cambria Math"/>
                      <w:sz w:val="28"/>
                      <w:szCs w:val="28"/>
                    </w:rPr>
                    <m:t>i-2</m:t>
                  </m:r>
                </m:sub>
              </m:sSub>
            </m:num>
            <m:den>
              <m:r>
                <w:rPr>
                  <w:rFonts w:ascii="Cambria Math" w:hAnsi="Cambria Math"/>
                  <w:sz w:val="28"/>
                  <w:szCs w:val="28"/>
                </w:rPr>
                <m:t>100</m:t>
              </m:r>
            </m:den>
          </m:f>
          <m:r>
            <w:rPr>
              <w:rFonts w:ascii="Cambria Math" w:hAnsi="Cambria Math"/>
              <w:sz w:val="28"/>
              <w:szCs w:val="28"/>
            </w:rPr>
            <m:t xml:space="preserve"> ×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CPI</m:t>
                  </m:r>
                </m:e>
                <m:sub>
                  <m:r>
                    <w:rPr>
                      <w:rFonts w:ascii="Cambria Math" w:hAnsi="Cambria Math"/>
                      <w:sz w:val="28"/>
                      <w:szCs w:val="28"/>
                    </w:rPr>
                    <m:t>i-1</m:t>
                  </m:r>
                </m:sub>
              </m:sSub>
            </m:num>
            <m:den>
              <m:r>
                <w:rPr>
                  <w:rFonts w:ascii="Cambria Math" w:hAnsi="Cambria Math"/>
                  <w:sz w:val="28"/>
                  <w:szCs w:val="28"/>
                </w:rPr>
                <m:t>100</m:t>
              </m:r>
            </m:den>
          </m:f>
        </m:oMath>
      </m:oMathPara>
    </w:p>
    <w:p w:rsidR="007C1EE6" w:rsidRPr="00393A6A" w:rsidRDefault="007C1EE6" w:rsidP="00B55BF7">
      <w:pPr>
        <w:pStyle w:val="Default"/>
        <w:jc w:val="both"/>
        <w:rPr>
          <w:rFonts w:asciiTheme="minorHAnsi" w:eastAsiaTheme="minorEastAsia" w:hAnsiTheme="minorHAnsi"/>
          <w:sz w:val="28"/>
          <w:szCs w:val="28"/>
        </w:rPr>
      </w:pPr>
    </w:p>
    <w:p w:rsidR="007C1EE6" w:rsidRPr="00393A6A" w:rsidRDefault="007C1EE6" w:rsidP="00B55BF7">
      <w:pPr>
        <w:pStyle w:val="Default"/>
        <w:keepNext/>
        <w:jc w:val="both"/>
        <w:rPr>
          <w:rFonts w:asciiTheme="minorHAnsi" w:hAnsiTheme="minorHAnsi"/>
          <w:sz w:val="28"/>
          <w:szCs w:val="28"/>
          <w:u w:val="single"/>
        </w:rPr>
      </w:pPr>
      <w:r w:rsidRPr="00393A6A">
        <w:rPr>
          <w:rFonts w:asciiTheme="minorHAnsi" w:hAnsiTheme="minorHAnsi"/>
          <w:sz w:val="28"/>
          <w:szCs w:val="28"/>
          <w:u w:val="single"/>
        </w:rPr>
        <w:t>Odůvodnění připomínky:</w:t>
      </w:r>
    </w:p>
    <w:p w:rsidR="007C1EE6" w:rsidRPr="00393A6A" w:rsidRDefault="007C1EE6" w:rsidP="00B55BF7">
      <w:pPr>
        <w:pStyle w:val="Default"/>
        <w:jc w:val="both"/>
        <w:rPr>
          <w:rFonts w:asciiTheme="minorHAnsi" w:hAnsiTheme="minorHAnsi"/>
          <w:sz w:val="28"/>
          <w:szCs w:val="28"/>
        </w:rPr>
      </w:pPr>
      <w:r w:rsidRPr="00393A6A">
        <w:rPr>
          <w:rFonts w:asciiTheme="minorHAnsi" w:hAnsiTheme="minorHAnsi"/>
          <w:sz w:val="28"/>
          <w:szCs w:val="28"/>
        </w:rPr>
        <w:t xml:space="preserve">Použitý způsob výpočtu nereflektuje případný Plánovaný investiční rozvojový faktor a </w:t>
      </w:r>
      <w:r w:rsidRPr="00393A6A">
        <w:rPr>
          <w:rFonts w:asciiTheme="minorHAnsi" w:hAnsiTheme="minorHAnsi"/>
          <w:color w:val="auto"/>
          <w:sz w:val="28"/>
          <w:szCs w:val="28"/>
        </w:rPr>
        <w:t xml:space="preserve">Plánovanou hodnotu regulovaných nákladů na úhradu nájemného v roce i-2 </w:t>
      </w:r>
      <w:r w:rsidRPr="00393A6A">
        <w:rPr>
          <w:rFonts w:asciiTheme="minorHAnsi" w:hAnsiTheme="minorHAnsi"/>
          <w:sz w:val="28"/>
          <w:szCs w:val="28"/>
        </w:rPr>
        <w:t>přiznané regulovanému subjektu v roce i-2 v rámci Upravených povolených výnosů (UPV)</w:t>
      </w:r>
      <w:r w:rsidR="00A73700">
        <w:rPr>
          <w:rFonts w:asciiTheme="minorHAnsi" w:hAnsiTheme="minorHAnsi"/>
          <w:sz w:val="28"/>
          <w:szCs w:val="28"/>
        </w:rPr>
        <w:t>.</w:t>
      </w:r>
    </w:p>
    <w:p w:rsidR="007C1EE6" w:rsidRPr="00393A6A" w:rsidRDefault="007C1EE6" w:rsidP="00B55BF7">
      <w:pPr>
        <w:pStyle w:val="Default"/>
        <w:jc w:val="both"/>
        <w:rPr>
          <w:rFonts w:asciiTheme="minorHAnsi" w:hAnsiTheme="minorHAnsi"/>
          <w:sz w:val="28"/>
          <w:szCs w:val="28"/>
        </w:rPr>
      </w:pPr>
    </w:p>
    <w:p w:rsidR="007C1EE6" w:rsidRPr="00393A6A" w:rsidRDefault="007C1EE6" w:rsidP="00B55BF7">
      <w:pPr>
        <w:pStyle w:val="Default"/>
        <w:jc w:val="both"/>
        <w:rPr>
          <w:rFonts w:asciiTheme="minorHAnsi" w:hAnsiTheme="minorHAnsi"/>
          <w:sz w:val="28"/>
          <w:szCs w:val="28"/>
          <w:u w:val="single"/>
        </w:rPr>
      </w:pPr>
      <w:r w:rsidRPr="00393A6A">
        <w:rPr>
          <w:rFonts w:asciiTheme="minorHAnsi" w:hAnsiTheme="minorHAnsi"/>
          <w:sz w:val="28"/>
          <w:szCs w:val="28"/>
          <w:u w:val="single"/>
        </w:rPr>
        <w:lastRenderedPageBreak/>
        <w:t>Návrh promítnutí připomínky do návrhu vyhlášky:</w:t>
      </w:r>
    </w:p>
    <w:p w:rsidR="007C1EE6" w:rsidRPr="00393A6A" w:rsidRDefault="007C1EE6" w:rsidP="00B55BF7">
      <w:pPr>
        <w:pStyle w:val="Default"/>
        <w:jc w:val="both"/>
        <w:rPr>
          <w:rFonts w:asciiTheme="minorHAnsi" w:hAnsiTheme="minorHAnsi"/>
          <w:sz w:val="28"/>
          <w:szCs w:val="28"/>
        </w:rPr>
      </w:pPr>
      <w:r w:rsidRPr="00393A6A">
        <w:rPr>
          <w:rFonts w:asciiTheme="minorHAnsi" w:hAnsiTheme="minorHAnsi"/>
          <w:sz w:val="28"/>
          <w:szCs w:val="28"/>
        </w:rPr>
        <w:t>Navrhujeme následující úpravu v Příloze č. 3 regulační vyhlášky:</w:t>
      </w:r>
    </w:p>
    <w:p w:rsidR="007C1EE6" w:rsidRPr="00393A6A" w:rsidRDefault="007C1EE6" w:rsidP="00B55BF7">
      <w:pPr>
        <w:pStyle w:val="Default"/>
        <w:jc w:val="both"/>
        <w:rPr>
          <w:rFonts w:asciiTheme="minorHAnsi" w:hAnsiTheme="minorHAnsi"/>
          <w:sz w:val="28"/>
          <w:szCs w:val="28"/>
        </w:rPr>
      </w:pPr>
    </w:p>
    <w:p w:rsidR="007C1EE6" w:rsidRPr="00393A6A" w:rsidRDefault="004578B7" w:rsidP="00B55BF7">
      <w:pPr>
        <w:pStyle w:val="Default"/>
        <w:jc w:val="both"/>
        <w:rPr>
          <w:rFonts w:asciiTheme="minorHAnsi" w:eastAsiaTheme="minorEastAsia" w:hAnsiTheme="minorHAnsi"/>
          <w:sz w:val="28"/>
          <w:szCs w:val="28"/>
        </w:rPr>
      </w:pPr>
      <m:oMathPara>
        <m:oMathParaPr>
          <m:jc m:val="left"/>
        </m:oMathParaPr>
        <m:oMath>
          <m:sSub>
            <m:sSubPr>
              <m:ctrlPr>
                <w:rPr>
                  <w:rFonts w:ascii="Cambria Math" w:hAnsi="Cambria Math"/>
                  <w:i/>
                  <w:sz w:val="28"/>
                  <w:szCs w:val="28"/>
                </w:rPr>
              </m:ctrlPr>
            </m:sSubPr>
            <m:e>
              <m:r>
                <w:rPr>
                  <w:rFonts w:ascii="Cambria Math" w:hAnsi="Cambria Math"/>
                  <w:sz w:val="28"/>
                  <w:szCs w:val="28"/>
                </w:rPr>
                <m:t>KF</m:t>
              </m:r>
            </m:e>
            <m:sub>
              <m:r>
                <w:rPr>
                  <w:rFonts w:ascii="Cambria Math" w:hAnsi="Cambria Math"/>
                  <w:sz w:val="28"/>
                  <w:szCs w:val="28"/>
                </w:rPr>
                <m:t>dpi-2</m:t>
              </m:r>
            </m:sub>
          </m:sSub>
          <m:r>
            <w:rPr>
              <w:rFonts w:ascii="Cambria Math" w:hAnsi="Cambria Math"/>
              <w:sz w:val="28"/>
              <w:szCs w:val="28"/>
            </w:rPr>
            <m:t xml:space="preserve">= </m:t>
          </m:r>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PV</m:t>
                  </m:r>
                </m:e>
                <m:sub>
                  <m:r>
                    <w:rPr>
                      <w:rFonts w:ascii="Cambria Math" w:hAnsi="Cambria Math"/>
                      <w:sz w:val="28"/>
                      <w:szCs w:val="28"/>
                    </w:rPr>
                    <m:t>dpi-2</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KF</m:t>
                  </m:r>
                </m:e>
                <m:sub>
                  <m:r>
                    <w:rPr>
                      <w:rFonts w:ascii="Cambria Math" w:hAnsi="Cambria Math"/>
                      <w:sz w:val="28"/>
                      <w:szCs w:val="28"/>
                    </w:rPr>
                    <m:t>dpi-2</m:t>
                  </m:r>
                </m:sub>
              </m:sSub>
              <m:r>
                <w:rPr>
                  <w:rFonts w:ascii="Cambria Math" w:hAnsi="Cambria Math"/>
                  <w:sz w:val="28"/>
                  <w:szCs w:val="28"/>
                </w:rPr>
                <m:t xml:space="preserve"> + </m:t>
              </m:r>
              <m:sSub>
                <m:sSubPr>
                  <m:ctrlPr>
                    <w:rPr>
                      <w:rFonts w:ascii="Cambria Math" w:hAnsi="Cambria Math"/>
                      <w:i/>
                      <w:sz w:val="28"/>
                      <w:szCs w:val="28"/>
                    </w:rPr>
                  </m:ctrlPr>
                </m:sSubPr>
                <m:e>
                  <m:r>
                    <w:rPr>
                      <w:rFonts w:ascii="Cambria Math" w:hAnsi="Cambria Math"/>
                      <w:sz w:val="28"/>
                      <w:szCs w:val="28"/>
                    </w:rPr>
                    <m:t>NZ</m:t>
                  </m:r>
                </m:e>
                <m:sub>
                  <m:r>
                    <w:rPr>
                      <w:rFonts w:ascii="Cambria Math" w:hAnsi="Cambria Math"/>
                      <w:sz w:val="28"/>
                      <w:szCs w:val="28"/>
                    </w:rPr>
                    <m:t>dpi-2</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NVS</m:t>
                  </m:r>
                </m:e>
                <m:sub>
                  <m:r>
                    <w:rPr>
                      <w:rFonts w:ascii="Cambria Math" w:hAnsi="Cambria Math"/>
                      <w:sz w:val="28"/>
                      <w:szCs w:val="28"/>
                    </w:rPr>
                    <m:t>dpi-2</m:t>
                  </m:r>
                </m:sub>
              </m:sSub>
              <m:r>
                <w:rPr>
                  <w:rFonts w:ascii="Cambria Math" w:hAnsi="Cambria Math"/>
                  <w:sz w:val="28"/>
                  <w:szCs w:val="28"/>
                </w:rPr>
                <m:t xml:space="preserve"> + </m:t>
              </m:r>
              <m:sSub>
                <m:sSubPr>
                  <m:ctrlPr>
                    <w:rPr>
                      <w:rFonts w:ascii="Cambria Math" w:hAnsi="Cambria Math"/>
                      <w:i/>
                      <w:sz w:val="28"/>
                      <w:szCs w:val="28"/>
                    </w:rPr>
                  </m:ctrlPr>
                </m:sSubPr>
                <m:e>
                  <m:r>
                    <w:rPr>
                      <w:rFonts w:ascii="Cambria Math" w:hAnsi="Cambria Math"/>
                      <w:sz w:val="28"/>
                      <w:szCs w:val="28"/>
                    </w:rPr>
                    <m:t>ND</m:t>
                  </m:r>
                </m:e>
                <m:sub>
                  <m:r>
                    <w:rPr>
                      <w:rFonts w:ascii="Cambria Math" w:hAnsi="Cambria Math"/>
                      <w:sz w:val="28"/>
                      <w:szCs w:val="28"/>
                    </w:rPr>
                    <m:t>dpi-2</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NP</m:t>
                  </m:r>
                </m:e>
                <m:sub>
                  <m:r>
                    <w:rPr>
                      <w:rFonts w:ascii="Cambria Math" w:hAnsi="Cambria Math"/>
                      <w:sz w:val="28"/>
                      <w:szCs w:val="28"/>
                    </w:rPr>
                    <m:t>dpi-2</m:t>
                  </m:r>
                </m:sub>
              </m:sSub>
              <m:r>
                <m:rPr>
                  <m:sty m:val="bi"/>
                </m:rPr>
                <w:rPr>
                  <w:rFonts w:ascii="Cambria Math" w:hAnsi="Cambria Math"/>
                  <w:sz w:val="28"/>
                  <w:szCs w:val="28"/>
                </w:rPr>
                <m:t xml:space="preserve">+ </m:t>
              </m:r>
              <m:sSub>
                <m:sSubPr>
                  <m:ctrlPr>
                    <w:rPr>
                      <w:rFonts w:ascii="Cambria Math" w:hAnsi="Cambria Math"/>
                      <w:b/>
                      <w:i/>
                      <w:sz w:val="28"/>
                      <w:szCs w:val="28"/>
                    </w:rPr>
                  </m:ctrlPr>
                </m:sSubPr>
                <m:e>
                  <m:r>
                    <m:rPr>
                      <m:sty m:val="bi"/>
                    </m:rPr>
                    <w:rPr>
                      <w:rFonts w:ascii="Cambria Math" w:hAnsi="Cambria Math"/>
                      <w:sz w:val="28"/>
                      <w:szCs w:val="28"/>
                    </w:rPr>
                    <m:t>IRF</m:t>
                  </m:r>
                </m:e>
                <m:sub>
                  <m:r>
                    <m:rPr>
                      <m:sty m:val="bi"/>
                    </m:rPr>
                    <w:rPr>
                      <w:rFonts w:ascii="Cambria Math" w:hAnsi="Cambria Math"/>
                      <w:sz w:val="28"/>
                      <w:szCs w:val="28"/>
                    </w:rPr>
                    <m:t>dppli-2</m:t>
                  </m:r>
                </m:sub>
              </m:sSub>
              <m:r>
                <m:rPr>
                  <m:sty m:val="bi"/>
                </m:rPr>
                <w:rPr>
                  <w:rFonts w:ascii="Cambria Math" w:hAnsi="Cambria Math"/>
                  <w:color w:val="auto"/>
                  <w:sz w:val="28"/>
                  <w:szCs w:val="28"/>
                </w:rPr>
                <m:t xml:space="preserve">+ </m:t>
              </m:r>
              <m:sSub>
                <m:sSubPr>
                  <m:ctrlPr>
                    <w:rPr>
                      <w:rFonts w:ascii="Cambria Math" w:hAnsi="Cambria Math"/>
                      <w:b/>
                      <w:i/>
                      <w:color w:val="auto"/>
                      <w:sz w:val="28"/>
                      <w:szCs w:val="28"/>
                    </w:rPr>
                  </m:ctrlPr>
                </m:sSubPr>
                <m:e>
                  <m:r>
                    <m:rPr>
                      <m:sty m:val="bi"/>
                    </m:rPr>
                    <w:rPr>
                      <w:rFonts w:ascii="Cambria Math" w:hAnsi="Cambria Math"/>
                      <w:color w:val="auto"/>
                      <w:sz w:val="28"/>
                      <w:szCs w:val="28"/>
                    </w:rPr>
                    <m:t>N</m:t>
                  </m:r>
                </m:e>
                <m:sub>
                  <m:r>
                    <m:rPr>
                      <m:sty m:val="bi"/>
                    </m:rPr>
                    <w:rPr>
                      <w:rFonts w:ascii="Cambria Math" w:hAnsi="Cambria Math"/>
                      <w:color w:val="auto"/>
                      <w:sz w:val="28"/>
                      <w:szCs w:val="28"/>
                    </w:rPr>
                    <m:t>dppli-2</m:t>
                  </m:r>
                </m:sub>
              </m:sSub>
              <m:r>
                <w:rPr>
                  <w:rFonts w:ascii="Cambria Math" w:hAnsi="Cambria Math"/>
                  <w:sz w:val="28"/>
                  <w:szCs w:val="28"/>
                </w:rPr>
                <m:t xml:space="preserve"> - </m:t>
              </m:r>
              <m:sSub>
                <m:sSubPr>
                  <m:ctrlPr>
                    <w:rPr>
                      <w:rFonts w:ascii="Cambria Math" w:hAnsi="Cambria Math"/>
                      <w:i/>
                      <w:sz w:val="28"/>
                      <w:szCs w:val="28"/>
                    </w:rPr>
                  </m:ctrlPr>
                </m:sSubPr>
                <m:e>
                  <m:r>
                    <w:rPr>
                      <w:rFonts w:ascii="Cambria Math" w:hAnsi="Cambria Math"/>
                      <w:sz w:val="28"/>
                      <w:szCs w:val="28"/>
                    </w:rPr>
                    <m:t>CT</m:t>
                  </m:r>
                </m:e>
                <m:sub>
                  <m:r>
                    <w:rPr>
                      <w:rFonts w:ascii="Cambria Math" w:hAnsi="Cambria Math"/>
                      <w:sz w:val="28"/>
                      <w:szCs w:val="28"/>
                    </w:rPr>
                    <m:t>dpi-2</m:t>
                  </m:r>
                </m:sub>
              </m:sSub>
            </m:e>
          </m:d>
          <m:r>
            <w:rPr>
              <w:rFonts w:ascii="Cambria Math" w:hAnsi="Cambria Math"/>
              <w:sz w:val="28"/>
              <w:szCs w:val="28"/>
            </w:rPr>
            <m:t xml:space="preserve"> ×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CPI</m:t>
                  </m:r>
                </m:e>
                <m:sub>
                  <m:r>
                    <w:rPr>
                      <w:rFonts w:ascii="Cambria Math" w:hAnsi="Cambria Math"/>
                      <w:sz w:val="28"/>
                      <w:szCs w:val="28"/>
                    </w:rPr>
                    <m:t>i-2</m:t>
                  </m:r>
                </m:sub>
              </m:sSub>
            </m:num>
            <m:den>
              <m:r>
                <w:rPr>
                  <w:rFonts w:ascii="Cambria Math" w:hAnsi="Cambria Math"/>
                  <w:sz w:val="28"/>
                  <w:szCs w:val="28"/>
                </w:rPr>
                <m:t>100</m:t>
              </m:r>
            </m:den>
          </m:f>
          <m:r>
            <w:rPr>
              <w:rFonts w:ascii="Cambria Math" w:hAnsi="Cambria Math"/>
              <w:sz w:val="28"/>
              <w:szCs w:val="28"/>
            </w:rPr>
            <m:t xml:space="preserve"> ×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CPI</m:t>
                  </m:r>
                </m:e>
                <m:sub>
                  <m:r>
                    <w:rPr>
                      <w:rFonts w:ascii="Cambria Math" w:hAnsi="Cambria Math"/>
                      <w:sz w:val="28"/>
                      <w:szCs w:val="28"/>
                    </w:rPr>
                    <m:t>i-1</m:t>
                  </m:r>
                </m:sub>
              </m:sSub>
            </m:num>
            <m:den>
              <m:r>
                <w:rPr>
                  <w:rFonts w:ascii="Cambria Math" w:hAnsi="Cambria Math"/>
                  <w:sz w:val="28"/>
                  <w:szCs w:val="28"/>
                </w:rPr>
                <m:t>100</m:t>
              </m:r>
            </m:den>
          </m:f>
        </m:oMath>
      </m:oMathPara>
    </w:p>
    <w:p w:rsidR="007C15FC" w:rsidRPr="00393A6A" w:rsidRDefault="007C15FC" w:rsidP="00B55BF7">
      <w:pPr>
        <w:pStyle w:val="Default"/>
        <w:jc w:val="both"/>
        <w:rPr>
          <w:rFonts w:asciiTheme="minorHAnsi" w:hAnsiTheme="minorHAnsi"/>
          <w:iCs/>
          <w:sz w:val="28"/>
          <w:szCs w:val="28"/>
        </w:rPr>
      </w:pPr>
    </w:p>
    <w:p w:rsidR="00EA105A" w:rsidRPr="00393A6A" w:rsidRDefault="007C1EE6" w:rsidP="00B55BF7">
      <w:pPr>
        <w:pStyle w:val="Odstavecseseznamem"/>
        <w:keepNext/>
        <w:numPr>
          <w:ilvl w:val="0"/>
          <w:numId w:val="1"/>
        </w:numPr>
        <w:tabs>
          <w:tab w:val="left" w:pos="567"/>
        </w:tabs>
        <w:spacing w:before="240" w:after="120" w:line="240" w:lineRule="auto"/>
        <w:ind w:left="0" w:firstLine="0"/>
        <w:contextualSpacing w:val="0"/>
        <w:jc w:val="both"/>
        <w:rPr>
          <w:sz w:val="28"/>
          <w:szCs w:val="28"/>
        </w:rPr>
      </w:pPr>
      <w:r w:rsidRPr="00393A6A">
        <w:rPr>
          <w:sz w:val="28"/>
          <w:szCs w:val="28"/>
        </w:rPr>
        <w:t xml:space="preserve">Připomínka k </w:t>
      </w:r>
      <w:r w:rsidR="00EA105A" w:rsidRPr="00393A6A">
        <w:rPr>
          <w:sz w:val="28"/>
          <w:szCs w:val="28"/>
        </w:rPr>
        <w:t>WACC</w:t>
      </w:r>
    </w:p>
    <w:p w:rsidR="00751E67" w:rsidRPr="00393A6A" w:rsidRDefault="00751E67" w:rsidP="00B55BF7">
      <w:pPr>
        <w:pStyle w:val="Default"/>
        <w:jc w:val="both"/>
        <w:rPr>
          <w:rFonts w:asciiTheme="minorHAnsi" w:hAnsiTheme="minorHAnsi"/>
          <w:sz w:val="28"/>
          <w:szCs w:val="28"/>
        </w:rPr>
      </w:pPr>
      <w:r w:rsidRPr="00393A6A">
        <w:rPr>
          <w:rFonts w:asciiTheme="minorHAnsi" w:hAnsiTheme="minorHAnsi"/>
          <w:sz w:val="28"/>
          <w:szCs w:val="28"/>
        </w:rPr>
        <w:t>Připomínka k §7, odst. 4 návrhu vyhlášky o způsobu regulace cen a postupech pro regulaci cen v plynárenství:</w:t>
      </w:r>
    </w:p>
    <w:p w:rsidR="00751E67" w:rsidRPr="00393A6A" w:rsidRDefault="00751E67" w:rsidP="00B55BF7">
      <w:pPr>
        <w:pStyle w:val="Default"/>
        <w:jc w:val="both"/>
        <w:rPr>
          <w:rFonts w:asciiTheme="minorHAnsi" w:hAnsiTheme="minorHAnsi"/>
          <w:i/>
          <w:caps/>
          <w:sz w:val="28"/>
          <w:szCs w:val="28"/>
        </w:rPr>
      </w:pPr>
      <w:r w:rsidRPr="00393A6A">
        <w:rPr>
          <w:rFonts w:asciiTheme="minorHAnsi" w:hAnsiTheme="minorHAnsi"/>
          <w:i/>
          <w:sz w:val="28"/>
          <w:szCs w:val="28"/>
        </w:rPr>
        <w:t>Míra výnosnosti regulační báze aktiv stanovená podle metodiky vážených průměrných nákladů na kapitál před zdaněním bude pro regulovaný rok 2015 stanovena na základě průměru tohoto parametru z let 2013 a 2014, tzn. pro činnost přeprava plynu ve výši 6,105 % a pro činnost distribuce plynu ve výši 6,479 %.</w:t>
      </w:r>
    </w:p>
    <w:p w:rsidR="00751E67" w:rsidRPr="00393A6A" w:rsidRDefault="00751E67" w:rsidP="00B55BF7">
      <w:pPr>
        <w:pStyle w:val="Default"/>
        <w:jc w:val="both"/>
        <w:rPr>
          <w:rFonts w:asciiTheme="minorHAnsi" w:hAnsiTheme="minorHAnsi"/>
          <w:sz w:val="28"/>
          <w:szCs w:val="28"/>
        </w:rPr>
      </w:pPr>
    </w:p>
    <w:p w:rsidR="00751E67" w:rsidRPr="00393A6A" w:rsidRDefault="00751E67" w:rsidP="00B55BF7">
      <w:pPr>
        <w:pStyle w:val="Default"/>
        <w:keepNext/>
        <w:jc w:val="both"/>
        <w:rPr>
          <w:rFonts w:asciiTheme="minorHAnsi" w:hAnsiTheme="minorHAnsi"/>
          <w:sz w:val="28"/>
          <w:szCs w:val="28"/>
          <w:u w:val="single"/>
        </w:rPr>
      </w:pPr>
      <w:r w:rsidRPr="00393A6A">
        <w:rPr>
          <w:rFonts w:asciiTheme="minorHAnsi" w:hAnsiTheme="minorHAnsi"/>
          <w:sz w:val="28"/>
          <w:szCs w:val="28"/>
          <w:u w:val="single"/>
        </w:rPr>
        <w:t>Odůvodnění připomínky:</w:t>
      </w:r>
    </w:p>
    <w:p w:rsidR="00676B40" w:rsidRDefault="00676B40" w:rsidP="00B55BF7">
      <w:pPr>
        <w:pStyle w:val="Default"/>
        <w:jc w:val="both"/>
        <w:rPr>
          <w:rFonts w:asciiTheme="minorHAnsi" w:hAnsiTheme="minorHAnsi" w:cs="Arial"/>
          <w:sz w:val="28"/>
          <w:szCs w:val="28"/>
        </w:rPr>
      </w:pPr>
    </w:p>
    <w:p w:rsidR="00676B40" w:rsidRDefault="00676B40" w:rsidP="00B55BF7">
      <w:pPr>
        <w:pStyle w:val="Default"/>
        <w:jc w:val="both"/>
        <w:rPr>
          <w:rFonts w:asciiTheme="minorHAnsi" w:hAnsiTheme="minorHAnsi" w:cs="Arial"/>
          <w:sz w:val="28"/>
          <w:szCs w:val="28"/>
        </w:rPr>
      </w:pPr>
      <w:r w:rsidRPr="00676B40">
        <w:rPr>
          <w:rFonts w:asciiTheme="minorHAnsi" w:hAnsiTheme="minorHAnsi" w:cs="Arial"/>
          <w:sz w:val="28"/>
          <w:szCs w:val="28"/>
        </w:rPr>
        <w:t xml:space="preserve">V případě stanovení hodnoty WACC, který je primárním motivačním parametrem pro realizaci budoucích investic, musíme konstatovat, že navržená hodnota stanovená průměrem tohoto parametru použitého v letech 2013 a 2014 ve výši </w:t>
      </w:r>
      <w:r w:rsidR="005B1BAB">
        <w:rPr>
          <w:rFonts w:asciiTheme="minorHAnsi" w:hAnsiTheme="minorHAnsi" w:cs="Arial"/>
          <w:sz w:val="28"/>
          <w:szCs w:val="28"/>
        </w:rPr>
        <w:t xml:space="preserve">6,105 % resp. </w:t>
      </w:r>
      <w:r w:rsidRPr="00676B40">
        <w:rPr>
          <w:rFonts w:asciiTheme="minorHAnsi" w:hAnsiTheme="minorHAnsi" w:cs="Arial"/>
          <w:sz w:val="28"/>
          <w:szCs w:val="28"/>
        </w:rPr>
        <w:t>6,479 % je velmi nízká, a může tak komplikovat regulovaným subjektům přístup k finančním zdrojům. S ohledem na kontext nastavení pravidel pro prodloužené III. regulační období navrhujeme, aby pro rok 2015 byl pro stanovení hodnoty WACC použit průměr těchto hodnot za celé III. regulační období (tedy roky 2010 až 2014) ve výši</w:t>
      </w:r>
      <w:r w:rsidR="005B1BAB">
        <w:rPr>
          <w:rFonts w:asciiTheme="minorHAnsi" w:hAnsiTheme="minorHAnsi" w:cs="Arial"/>
          <w:sz w:val="28"/>
          <w:szCs w:val="28"/>
        </w:rPr>
        <w:t xml:space="preserve"> 6,861 % resp.</w:t>
      </w:r>
      <w:r w:rsidRPr="00676B40">
        <w:rPr>
          <w:rFonts w:asciiTheme="minorHAnsi" w:hAnsiTheme="minorHAnsi" w:cs="Arial"/>
          <w:sz w:val="28"/>
          <w:szCs w:val="28"/>
        </w:rPr>
        <w:t xml:space="preserve"> 7,237%.  </w:t>
      </w:r>
    </w:p>
    <w:p w:rsidR="00FC32E1" w:rsidRPr="00393A6A" w:rsidRDefault="00FC32E1" w:rsidP="00B55BF7">
      <w:pPr>
        <w:pStyle w:val="Default"/>
        <w:jc w:val="both"/>
        <w:rPr>
          <w:rFonts w:asciiTheme="minorHAnsi" w:hAnsiTheme="minorHAnsi" w:cs="Arial"/>
          <w:sz w:val="28"/>
          <w:szCs w:val="28"/>
        </w:rPr>
      </w:pPr>
    </w:p>
    <w:p w:rsidR="00751E67" w:rsidRPr="00393A6A" w:rsidRDefault="00751E67" w:rsidP="00B55BF7">
      <w:pPr>
        <w:pStyle w:val="Default"/>
        <w:jc w:val="both"/>
        <w:rPr>
          <w:rFonts w:asciiTheme="minorHAnsi" w:hAnsiTheme="minorHAnsi"/>
          <w:sz w:val="28"/>
          <w:szCs w:val="28"/>
          <w:u w:val="single"/>
        </w:rPr>
      </w:pPr>
      <w:r w:rsidRPr="00393A6A">
        <w:rPr>
          <w:rFonts w:asciiTheme="minorHAnsi" w:hAnsiTheme="minorHAnsi"/>
          <w:sz w:val="28"/>
          <w:szCs w:val="28"/>
          <w:u w:val="single"/>
        </w:rPr>
        <w:t>Návrh promítnutí připomínky do návrhu vyhlášky:</w:t>
      </w:r>
    </w:p>
    <w:p w:rsidR="00751E67" w:rsidRPr="00393A6A" w:rsidRDefault="00751E67" w:rsidP="00B55BF7">
      <w:pPr>
        <w:pStyle w:val="Default"/>
        <w:jc w:val="both"/>
        <w:rPr>
          <w:rFonts w:asciiTheme="minorHAnsi" w:hAnsiTheme="minorHAnsi"/>
          <w:sz w:val="28"/>
          <w:szCs w:val="28"/>
        </w:rPr>
      </w:pPr>
      <w:r w:rsidRPr="00393A6A">
        <w:rPr>
          <w:rFonts w:asciiTheme="minorHAnsi" w:hAnsiTheme="minorHAnsi"/>
          <w:sz w:val="28"/>
          <w:szCs w:val="28"/>
        </w:rPr>
        <w:t>Navrhujeme následující úpravu v §7, odst. 4 návrhu vyhlášky:</w:t>
      </w:r>
    </w:p>
    <w:p w:rsidR="00676B40" w:rsidRDefault="00676B40" w:rsidP="00B55BF7">
      <w:pPr>
        <w:pStyle w:val="Default"/>
        <w:jc w:val="both"/>
        <w:rPr>
          <w:rFonts w:asciiTheme="minorHAnsi" w:hAnsiTheme="minorHAnsi"/>
          <w:i/>
          <w:sz w:val="28"/>
          <w:szCs w:val="28"/>
        </w:rPr>
      </w:pPr>
      <w:r w:rsidRPr="00676B40">
        <w:rPr>
          <w:rFonts w:asciiTheme="minorHAnsi" w:hAnsiTheme="minorHAnsi"/>
          <w:i/>
          <w:sz w:val="28"/>
          <w:szCs w:val="28"/>
        </w:rPr>
        <w:t>Míra výnosnosti regulační báze aktiv stanovená podle metodiky vážených průměrných nákladů na kapitál před zdaněním bude pro regulovaný rok 2015 stanovena pro činn</w:t>
      </w:r>
      <w:r w:rsidR="005B1BAB">
        <w:rPr>
          <w:rFonts w:asciiTheme="minorHAnsi" w:hAnsiTheme="minorHAnsi"/>
          <w:i/>
          <w:sz w:val="28"/>
          <w:szCs w:val="28"/>
        </w:rPr>
        <w:t>ost přeprava plynu ve výši 6,861</w:t>
      </w:r>
      <w:r w:rsidRPr="00676B40">
        <w:rPr>
          <w:rFonts w:asciiTheme="minorHAnsi" w:hAnsiTheme="minorHAnsi"/>
          <w:i/>
          <w:sz w:val="28"/>
          <w:szCs w:val="28"/>
        </w:rPr>
        <w:t xml:space="preserve"> % a pro činnost distribuce plynu ve výši 7,237 %.</w:t>
      </w:r>
    </w:p>
    <w:p w:rsidR="00751E67" w:rsidRPr="00393A6A" w:rsidRDefault="00751E67" w:rsidP="00B55BF7">
      <w:pPr>
        <w:pStyle w:val="Default"/>
        <w:jc w:val="both"/>
        <w:rPr>
          <w:rFonts w:asciiTheme="minorHAnsi" w:hAnsiTheme="minorHAnsi"/>
          <w:i/>
          <w:sz w:val="28"/>
          <w:szCs w:val="28"/>
        </w:rPr>
      </w:pPr>
    </w:p>
    <w:p w:rsidR="00676B40" w:rsidRPr="00676B40" w:rsidRDefault="00393A6A" w:rsidP="00676B40">
      <w:pPr>
        <w:pStyle w:val="Odstavecseseznamem"/>
        <w:keepNext/>
        <w:numPr>
          <w:ilvl w:val="0"/>
          <w:numId w:val="1"/>
        </w:numPr>
        <w:tabs>
          <w:tab w:val="left" w:pos="567"/>
        </w:tabs>
        <w:spacing w:before="240" w:after="120" w:line="240" w:lineRule="auto"/>
        <w:ind w:left="0" w:firstLine="0"/>
        <w:contextualSpacing w:val="0"/>
        <w:jc w:val="both"/>
        <w:rPr>
          <w:sz w:val="28"/>
          <w:szCs w:val="28"/>
        </w:rPr>
      </w:pPr>
      <w:r w:rsidRPr="00676B40">
        <w:rPr>
          <w:sz w:val="28"/>
          <w:szCs w:val="28"/>
        </w:rPr>
        <w:t xml:space="preserve">Připomínka </w:t>
      </w:r>
      <w:r w:rsidR="00676B40">
        <w:rPr>
          <w:sz w:val="28"/>
          <w:szCs w:val="28"/>
        </w:rPr>
        <w:t>k rozsahu parametrů oznamovaných držitelům licence</w:t>
      </w:r>
    </w:p>
    <w:p w:rsidR="00676B40" w:rsidRPr="00676B40" w:rsidRDefault="00676B40" w:rsidP="00676B40">
      <w:pPr>
        <w:pStyle w:val="Odstavecseseznamem"/>
        <w:autoSpaceDE w:val="0"/>
        <w:autoSpaceDN w:val="0"/>
        <w:adjustRightInd w:val="0"/>
        <w:spacing w:after="0" w:line="240" w:lineRule="auto"/>
        <w:ind w:left="0"/>
        <w:jc w:val="both"/>
        <w:rPr>
          <w:rFonts w:cs="Arial"/>
          <w:sz w:val="28"/>
          <w:szCs w:val="28"/>
        </w:rPr>
      </w:pPr>
      <w:r>
        <w:rPr>
          <w:rFonts w:cs="Arial"/>
          <w:sz w:val="28"/>
          <w:szCs w:val="28"/>
        </w:rPr>
        <w:t xml:space="preserve">Připomínka </w:t>
      </w:r>
      <w:r w:rsidR="00393A6A" w:rsidRPr="00676B40">
        <w:rPr>
          <w:rFonts w:cs="Arial"/>
          <w:sz w:val="28"/>
          <w:szCs w:val="28"/>
        </w:rPr>
        <w:t>k</w:t>
      </w:r>
      <w:r w:rsidRPr="00676B40">
        <w:rPr>
          <w:rFonts w:cs="Arial"/>
          <w:sz w:val="28"/>
          <w:szCs w:val="28"/>
        </w:rPr>
        <w:t> §4, odst. 2 návrhu vyhlášky o způsobu regulace cen a postupech pro regulaci cen v</w:t>
      </w:r>
      <w:r>
        <w:rPr>
          <w:rFonts w:cs="Arial"/>
          <w:sz w:val="28"/>
          <w:szCs w:val="28"/>
        </w:rPr>
        <w:t> </w:t>
      </w:r>
      <w:r w:rsidRPr="00676B40">
        <w:rPr>
          <w:rFonts w:cs="Arial"/>
          <w:sz w:val="28"/>
          <w:szCs w:val="28"/>
        </w:rPr>
        <w:t>plynárenství</w:t>
      </w:r>
      <w:r>
        <w:rPr>
          <w:rFonts w:cs="Arial"/>
          <w:sz w:val="28"/>
          <w:szCs w:val="28"/>
        </w:rPr>
        <w:t>.</w:t>
      </w:r>
    </w:p>
    <w:p w:rsidR="00676B40" w:rsidRPr="00676B40" w:rsidRDefault="00676B40" w:rsidP="00676B40">
      <w:pPr>
        <w:pStyle w:val="Odstavecseseznamem"/>
        <w:autoSpaceDE w:val="0"/>
        <w:autoSpaceDN w:val="0"/>
        <w:adjustRightInd w:val="0"/>
        <w:spacing w:after="0" w:line="240" w:lineRule="auto"/>
        <w:ind w:left="0"/>
        <w:jc w:val="both"/>
        <w:rPr>
          <w:rFonts w:cs="Arial"/>
          <w:b/>
          <w:sz w:val="28"/>
          <w:szCs w:val="28"/>
        </w:rPr>
      </w:pPr>
    </w:p>
    <w:p w:rsidR="00676B40" w:rsidRPr="00676B40" w:rsidRDefault="00676B40" w:rsidP="00676B40">
      <w:pPr>
        <w:pStyle w:val="Default"/>
        <w:keepNext/>
        <w:jc w:val="both"/>
        <w:rPr>
          <w:rFonts w:asciiTheme="minorHAnsi" w:hAnsiTheme="minorHAnsi"/>
          <w:sz w:val="28"/>
          <w:szCs w:val="28"/>
          <w:u w:val="single"/>
        </w:rPr>
      </w:pPr>
      <w:r w:rsidRPr="00676B40">
        <w:rPr>
          <w:rFonts w:asciiTheme="minorHAnsi" w:hAnsiTheme="minorHAnsi"/>
          <w:sz w:val="28"/>
          <w:szCs w:val="28"/>
          <w:u w:val="single"/>
        </w:rPr>
        <w:t>Odůvodnění připomínky:</w:t>
      </w:r>
    </w:p>
    <w:p w:rsidR="00676B40" w:rsidRPr="00676B40" w:rsidRDefault="00676B40" w:rsidP="00676B40">
      <w:pPr>
        <w:pStyle w:val="Odstavecseseznamem"/>
        <w:autoSpaceDE w:val="0"/>
        <w:autoSpaceDN w:val="0"/>
        <w:adjustRightInd w:val="0"/>
        <w:spacing w:line="240" w:lineRule="auto"/>
        <w:ind w:left="0"/>
        <w:jc w:val="both"/>
        <w:rPr>
          <w:rFonts w:cs="Arial"/>
          <w:sz w:val="28"/>
          <w:szCs w:val="28"/>
        </w:rPr>
      </w:pPr>
      <w:r w:rsidRPr="00676B40">
        <w:rPr>
          <w:rFonts w:cs="Arial"/>
          <w:sz w:val="28"/>
          <w:szCs w:val="28"/>
        </w:rPr>
        <w:t>V rozsahu parametrů oznamovaných držitelům licence chybí parametr plánovaného Investičního rozvojového fondu (IRF</w:t>
      </w:r>
      <w:r w:rsidRPr="00676B40">
        <w:rPr>
          <w:rFonts w:cs="Arial"/>
          <w:sz w:val="28"/>
          <w:szCs w:val="28"/>
          <w:vertAlign w:val="subscript"/>
        </w:rPr>
        <w:t>dppli</w:t>
      </w:r>
      <w:r w:rsidRPr="00676B40">
        <w:rPr>
          <w:rFonts w:cs="Arial"/>
          <w:sz w:val="28"/>
          <w:szCs w:val="28"/>
        </w:rPr>
        <w:t>).</w:t>
      </w:r>
    </w:p>
    <w:p w:rsidR="00676B40" w:rsidRPr="00676B40" w:rsidRDefault="00676B40" w:rsidP="00676B40">
      <w:pPr>
        <w:pStyle w:val="Odstavecseseznamem"/>
        <w:autoSpaceDE w:val="0"/>
        <w:autoSpaceDN w:val="0"/>
        <w:adjustRightInd w:val="0"/>
        <w:spacing w:after="0" w:line="240" w:lineRule="auto"/>
        <w:ind w:left="0"/>
        <w:jc w:val="both"/>
        <w:rPr>
          <w:rFonts w:cs="Arial"/>
          <w:sz w:val="28"/>
          <w:szCs w:val="28"/>
        </w:rPr>
      </w:pPr>
    </w:p>
    <w:p w:rsidR="00676B40" w:rsidRPr="00676B40" w:rsidRDefault="00676B40" w:rsidP="00676B40">
      <w:pPr>
        <w:pStyle w:val="Default"/>
        <w:jc w:val="both"/>
        <w:rPr>
          <w:rFonts w:asciiTheme="minorHAnsi" w:hAnsiTheme="minorHAnsi"/>
          <w:sz w:val="28"/>
          <w:szCs w:val="28"/>
          <w:u w:val="single"/>
        </w:rPr>
      </w:pPr>
      <w:r w:rsidRPr="00676B40">
        <w:rPr>
          <w:rFonts w:asciiTheme="minorHAnsi" w:hAnsiTheme="minorHAnsi"/>
          <w:sz w:val="28"/>
          <w:szCs w:val="28"/>
          <w:u w:val="single"/>
        </w:rPr>
        <w:t>Návrh promítnutí připomínky do návrhu vyhlášky:</w:t>
      </w:r>
    </w:p>
    <w:p w:rsidR="00676B40" w:rsidRDefault="00676B40" w:rsidP="00676B40">
      <w:pPr>
        <w:pStyle w:val="Odstavecseseznamem"/>
        <w:autoSpaceDE w:val="0"/>
        <w:autoSpaceDN w:val="0"/>
        <w:adjustRightInd w:val="0"/>
        <w:spacing w:line="240" w:lineRule="auto"/>
        <w:ind w:left="0"/>
        <w:jc w:val="both"/>
        <w:rPr>
          <w:rFonts w:cs="Arial"/>
          <w:sz w:val="28"/>
          <w:szCs w:val="28"/>
        </w:rPr>
      </w:pPr>
      <w:r w:rsidRPr="00676B40">
        <w:rPr>
          <w:rFonts w:cs="Arial"/>
          <w:sz w:val="28"/>
          <w:szCs w:val="28"/>
        </w:rPr>
        <w:t>Doplnění chybějícího parametru.</w:t>
      </w:r>
    </w:p>
    <w:p w:rsidR="00676B40" w:rsidRDefault="00676B40" w:rsidP="00676B40">
      <w:pPr>
        <w:pStyle w:val="Odstavecseseznamem"/>
        <w:autoSpaceDE w:val="0"/>
        <w:autoSpaceDN w:val="0"/>
        <w:adjustRightInd w:val="0"/>
        <w:spacing w:line="240" w:lineRule="auto"/>
        <w:ind w:left="0"/>
        <w:jc w:val="both"/>
        <w:rPr>
          <w:rFonts w:cs="Arial"/>
          <w:sz w:val="28"/>
          <w:szCs w:val="28"/>
        </w:rPr>
      </w:pPr>
    </w:p>
    <w:p w:rsidR="00AF6525" w:rsidRPr="00393A6A" w:rsidRDefault="00AF6525" w:rsidP="00AF6525">
      <w:pPr>
        <w:pStyle w:val="Odstavecseseznamem"/>
        <w:keepNext/>
        <w:numPr>
          <w:ilvl w:val="0"/>
          <w:numId w:val="1"/>
        </w:numPr>
        <w:tabs>
          <w:tab w:val="left" w:pos="567"/>
        </w:tabs>
        <w:spacing w:before="240" w:after="120" w:line="240" w:lineRule="auto"/>
        <w:ind w:left="0" w:firstLine="0"/>
        <w:contextualSpacing w:val="0"/>
        <w:jc w:val="both"/>
        <w:rPr>
          <w:sz w:val="28"/>
          <w:szCs w:val="28"/>
        </w:rPr>
      </w:pPr>
      <w:r w:rsidRPr="00393A6A">
        <w:rPr>
          <w:sz w:val="28"/>
          <w:szCs w:val="28"/>
        </w:rPr>
        <w:t>Připomínka k vzorci pro výpočet ceny distribuce plynu</w:t>
      </w:r>
    </w:p>
    <w:p w:rsidR="00AF6525" w:rsidRPr="00393A6A" w:rsidRDefault="00AF6525" w:rsidP="00AF6525">
      <w:pPr>
        <w:pStyle w:val="Odstavecseseznamem"/>
        <w:autoSpaceDE w:val="0"/>
        <w:autoSpaceDN w:val="0"/>
        <w:adjustRightInd w:val="0"/>
        <w:spacing w:after="0" w:line="240" w:lineRule="auto"/>
        <w:ind w:left="0"/>
        <w:jc w:val="both"/>
        <w:rPr>
          <w:rFonts w:cs="Arial"/>
          <w:sz w:val="28"/>
          <w:szCs w:val="28"/>
        </w:rPr>
      </w:pPr>
      <w:r w:rsidRPr="00393A6A">
        <w:rPr>
          <w:rFonts w:cs="Arial"/>
          <w:sz w:val="28"/>
          <w:szCs w:val="28"/>
        </w:rPr>
        <w:t>V textu vyhlášky ani v příloze č. 2 není uveden slovní popis nebo vzorec, ze kterého by bylo možné zjistit, jak se vlastně určí či vypočítá cena distribuce plynu. Tento fakt považujeme za velmi zásadní formální nedostatek návrhu, který činí tento návrh nepřijatelným.</w:t>
      </w:r>
    </w:p>
    <w:p w:rsidR="00AF6525" w:rsidRPr="00AF6525" w:rsidRDefault="00AF6525" w:rsidP="00AF6525">
      <w:pPr>
        <w:pStyle w:val="Odstavecseseznamem"/>
        <w:autoSpaceDE w:val="0"/>
        <w:autoSpaceDN w:val="0"/>
        <w:adjustRightInd w:val="0"/>
        <w:spacing w:after="0" w:line="240" w:lineRule="auto"/>
        <w:ind w:left="0"/>
        <w:jc w:val="both"/>
        <w:rPr>
          <w:rFonts w:cs="Arial"/>
          <w:sz w:val="28"/>
          <w:szCs w:val="28"/>
        </w:rPr>
      </w:pPr>
    </w:p>
    <w:p w:rsidR="00AF6525" w:rsidRPr="00393A6A" w:rsidRDefault="00AF6525" w:rsidP="00AF6525">
      <w:pPr>
        <w:pStyle w:val="Default"/>
        <w:keepNext/>
        <w:jc w:val="both"/>
        <w:rPr>
          <w:rFonts w:asciiTheme="minorHAnsi" w:hAnsiTheme="minorHAnsi"/>
          <w:sz w:val="28"/>
          <w:szCs w:val="28"/>
          <w:u w:val="single"/>
        </w:rPr>
      </w:pPr>
      <w:r w:rsidRPr="00393A6A">
        <w:rPr>
          <w:rFonts w:asciiTheme="minorHAnsi" w:hAnsiTheme="minorHAnsi"/>
          <w:sz w:val="28"/>
          <w:szCs w:val="28"/>
          <w:u w:val="single"/>
        </w:rPr>
        <w:t>Odůvodnění</w:t>
      </w:r>
      <w:r>
        <w:rPr>
          <w:rFonts w:asciiTheme="minorHAnsi" w:hAnsiTheme="minorHAnsi"/>
          <w:sz w:val="28"/>
          <w:szCs w:val="28"/>
          <w:u w:val="single"/>
        </w:rPr>
        <w:t xml:space="preserve"> připomínky:</w:t>
      </w:r>
    </w:p>
    <w:p w:rsidR="00AF6525" w:rsidRPr="00393A6A" w:rsidRDefault="00AF6525" w:rsidP="00AF6525">
      <w:pPr>
        <w:pStyle w:val="Odstavecseseznamem"/>
        <w:autoSpaceDE w:val="0"/>
        <w:autoSpaceDN w:val="0"/>
        <w:adjustRightInd w:val="0"/>
        <w:spacing w:line="240" w:lineRule="auto"/>
        <w:ind w:left="0"/>
        <w:jc w:val="both"/>
        <w:rPr>
          <w:rFonts w:cs="Arial"/>
          <w:bCs/>
          <w:sz w:val="28"/>
          <w:szCs w:val="28"/>
        </w:rPr>
      </w:pPr>
      <w:r w:rsidRPr="00393A6A">
        <w:rPr>
          <w:rFonts w:cs="Arial"/>
          <w:sz w:val="28"/>
          <w:szCs w:val="28"/>
        </w:rPr>
        <w:t xml:space="preserve">Návrh vyhlášky se v případě distribuce plynu na rozdíl od přepravy plynu zabývá výhradně stanovením některých parametrů pro výpočet cen, ale vlastní způsob stanovení či výpočtu ceny za distribuci nijak neuvádí, nepopisuje ani nespecifikuje. Způsob stanovení ceny neobsahuje ani příloha č. 2, která se přitom výslovně nazývá </w:t>
      </w:r>
      <w:r w:rsidRPr="00393A6A">
        <w:rPr>
          <w:rFonts w:cs="Arial"/>
          <w:i/>
          <w:sz w:val="28"/>
          <w:szCs w:val="28"/>
        </w:rPr>
        <w:t>„</w:t>
      </w:r>
      <w:r w:rsidRPr="00393A6A">
        <w:rPr>
          <w:rFonts w:cs="Arial"/>
          <w:bCs/>
          <w:i/>
          <w:sz w:val="28"/>
          <w:szCs w:val="28"/>
        </w:rPr>
        <w:t>Postup stanovení cen za distribuci plynu“</w:t>
      </w:r>
      <w:r w:rsidRPr="00393A6A">
        <w:rPr>
          <w:rFonts w:cs="Arial"/>
          <w:b/>
          <w:bCs/>
          <w:sz w:val="28"/>
          <w:szCs w:val="28"/>
        </w:rPr>
        <w:t xml:space="preserve">.  </w:t>
      </w:r>
      <w:r w:rsidRPr="00393A6A">
        <w:rPr>
          <w:rFonts w:cs="Arial"/>
          <w:bCs/>
          <w:sz w:val="28"/>
          <w:szCs w:val="28"/>
        </w:rPr>
        <w:t xml:space="preserve">Návrh textu vyhlášky sice uvádí v § 3 odst. 1, že </w:t>
      </w:r>
      <w:r w:rsidRPr="00393A6A">
        <w:rPr>
          <w:rFonts w:cs="Arial"/>
          <w:bCs/>
          <w:i/>
          <w:sz w:val="28"/>
          <w:szCs w:val="28"/>
        </w:rPr>
        <w:t>„Postup</w:t>
      </w:r>
      <w:r>
        <w:rPr>
          <w:rFonts w:cs="Arial"/>
          <w:bCs/>
          <w:i/>
          <w:sz w:val="28"/>
          <w:szCs w:val="28"/>
        </w:rPr>
        <w:t xml:space="preserve"> tvorby cen za přepravu plynu a </w:t>
      </w:r>
      <w:r w:rsidRPr="00393A6A">
        <w:rPr>
          <w:rFonts w:cs="Arial"/>
          <w:bCs/>
          <w:i/>
          <w:sz w:val="28"/>
          <w:szCs w:val="28"/>
        </w:rPr>
        <w:t>distribuci plynu je stanoven na regulační období prostřednictvím regulačního vzorce.“</w:t>
      </w:r>
      <w:r w:rsidRPr="00393A6A">
        <w:rPr>
          <w:rFonts w:cs="Arial"/>
          <w:bCs/>
          <w:sz w:val="28"/>
          <w:szCs w:val="28"/>
        </w:rPr>
        <w:t>, ale tento vzorec není nikde uveden a jeho vytvoření či specifikaci mimo tento navrhovaný předpis považuje</w:t>
      </w:r>
      <w:r>
        <w:rPr>
          <w:rFonts w:cs="Arial"/>
          <w:bCs/>
          <w:sz w:val="28"/>
          <w:szCs w:val="28"/>
        </w:rPr>
        <w:t>me za naprosto nepřijatelné a </w:t>
      </w:r>
      <w:r w:rsidRPr="00393A6A">
        <w:rPr>
          <w:rFonts w:cs="Arial"/>
          <w:bCs/>
          <w:sz w:val="28"/>
          <w:szCs w:val="28"/>
        </w:rPr>
        <w:t>nepřípustné.</w:t>
      </w:r>
    </w:p>
    <w:p w:rsidR="00AF6525" w:rsidRPr="00AF6525" w:rsidRDefault="00AF6525" w:rsidP="00AF6525">
      <w:pPr>
        <w:pStyle w:val="Odstavecseseznamem"/>
        <w:autoSpaceDE w:val="0"/>
        <w:autoSpaceDN w:val="0"/>
        <w:adjustRightInd w:val="0"/>
        <w:spacing w:after="0" w:line="240" w:lineRule="auto"/>
        <w:ind w:left="0"/>
        <w:jc w:val="both"/>
        <w:rPr>
          <w:rFonts w:cs="Arial"/>
          <w:sz w:val="28"/>
          <w:szCs w:val="28"/>
        </w:rPr>
      </w:pPr>
    </w:p>
    <w:p w:rsidR="00AF6525" w:rsidRPr="00393A6A" w:rsidRDefault="00AF6525" w:rsidP="00AF6525">
      <w:pPr>
        <w:pStyle w:val="Default"/>
        <w:jc w:val="both"/>
        <w:rPr>
          <w:rFonts w:asciiTheme="minorHAnsi" w:hAnsiTheme="minorHAnsi"/>
          <w:sz w:val="28"/>
          <w:szCs w:val="28"/>
          <w:u w:val="single"/>
        </w:rPr>
      </w:pPr>
      <w:r w:rsidRPr="00393A6A">
        <w:rPr>
          <w:rFonts w:asciiTheme="minorHAnsi" w:hAnsiTheme="minorHAnsi"/>
          <w:sz w:val="28"/>
          <w:szCs w:val="28"/>
          <w:u w:val="single"/>
        </w:rPr>
        <w:t>Návrh promítnutí připomínky do návrhu vyhlášky:</w:t>
      </w:r>
    </w:p>
    <w:p w:rsidR="00AF6525" w:rsidRPr="00393A6A" w:rsidRDefault="00AF6525" w:rsidP="00AF6525">
      <w:pPr>
        <w:pStyle w:val="Odstavecseseznamem"/>
        <w:autoSpaceDE w:val="0"/>
        <w:autoSpaceDN w:val="0"/>
        <w:adjustRightInd w:val="0"/>
        <w:spacing w:line="240" w:lineRule="auto"/>
        <w:ind w:left="0"/>
        <w:jc w:val="both"/>
        <w:rPr>
          <w:rFonts w:cs="Arial"/>
          <w:sz w:val="28"/>
          <w:szCs w:val="28"/>
        </w:rPr>
      </w:pPr>
      <w:r w:rsidRPr="00393A6A">
        <w:rPr>
          <w:rFonts w:cs="Arial"/>
          <w:sz w:val="28"/>
          <w:szCs w:val="28"/>
        </w:rPr>
        <w:t>V příloze č. 2 doplnit slovní popis a vzorce, z kterých bude jednoznačně zřejmé, jak se stanoví ceny distribuce plynu. V takovém případě bude pravděpodobně nutné rozšířit parametry pro regulaci cen o předpokládané hodnoty distribuce plynu (kapacity a množství).</w:t>
      </w:r>
    </w:p>
    <w:p w:rsidR="00676B40" w:rsidRPr="00393A6A" w:rsidRDefault="00676B40" w:rsidP="00676B40">
      <w:pPr>
        <w:pStyle w:val="Odstavecseseznamem"/>
        <w:autoSpaceDE w:val="0"/>
        <w:autoSpaceDN w:val="0"/>
        <w:adjustRightInd w:val="0"/>
        <w:spacing w:line="240" w:lineRule="auto"/>
        <w:ind w:left="0"/>
        <w:jc w:val="both"/>
        <w:rPr>
          <w:rFonts w:cs="Arial"/>
          <w:sz w:val="28"/>
          <w:szCs w:val="28"/>
        </w:rPr>
      </w:pPr>
    </w:p>
    <w:sectPr w:rsidR="00676B40" w:rsidRPr="00393A6A" w:rsidSect="00AF6525">
      <w:footerReference w:type="default" r:id="rId7"/>
      <w:headerReference w:type="first" r:id="rId8"/>
      <w:footerReference w:type="first" r:id="rId9"/>
      <w:pgSz w:w="11906" w:h="16838" w:code="9"/>
      <w:pgMar w:top="1418" w:right="1418" w:bottom="1418" w:left="1418" w:header="709" w:footer="41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48F" w:rsidRDefault="00FD148F" w:rsidP="00FC32E1">
      <w:pPr>
        <w:spacing w:after="0" w:line="240" w:lineRule="auto"/>
      </w:pPr>
      <w:r>
        <w:separator/>
      </w:r>
    </w:p>
  </w:endnote>
  <w:endnote w:type="continuationSeparator" w:id="0">
    <w:p w:rsidR="00FD148F" w:rsidRDefault="00FD148F" w:rsidP="00FC32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02719"/>
      <w:docPartObj>
        <w:docPartGallery w:val="Page Numbers (Bottom of Page)"/>
        <w:docPartUnique/>
      </w:docPartObj>
    </w:sdtPr>
    <w:sdtEndPr>
      <w:rPr>
        <w:sz w:val="28"/>
        <w:szCs w:val="28"/>
      </w:rPr>
    </w:sdtEndPr>
    <w:sdtContent>
      <w:p w:rsidR="00AF6525" w:rsidRPr="00AF6525" w:rsidRDefault="004578B7">
        <w:pPr>
          <w:pStyle w:val="Zpat"/>
          <w:jc w:val="center"/>
          <w:rPr>
            <w:sz w:val="28"/>
            <w:szCs w:val="28"/>
          </w:rPr>
        </w:pPr>
        <w:r w:rsidRPr="00AF6525">
          <w:rPr>
            <w:sz w:val="28"/>
            <w:szCs w:val="28"/>
          </w:rPr>
          <w:fldChar w:fldCharType="begin"/>
        </w:r>
        <w:r w:rsidR="00AF6525" w:rsidRPr="00AF6525">
          <w:rPr>
            <w:sz w:val="28"/>
            <w:szCs w:val="28"/>
          </w:rPr>
          <w:instrText xml:space="preserve"> PAGE   \* MERGEFORMAT </w:instrText>
        </w:r>
        <w:r w:rsidRPr="00AF6525">
          <w:rPr>
            <w:sz w:val="28"/>
            <w:szCs w:val="28"/>
          </w:rPr>
          <w:fldChar w:fldCharType="separate"/>
        </w:r>
        <w:r w:rsidR="00BF14B5">
          <w:rPr>
            <w:noProof/>
            <w:sz w:val="28"/>
            <w:szCs w:val="28"/>
          </w:rPr>
          <w:t>5</w:t>
        </w:r>
        <w:r w:rsidRPr="00AF6525">
          <w:rPr>
            <w:sz w:val="28"/>
            <w:szCs w:val="28"/>
          </w:rPr>
          <w:fldChar w:fldCharType="end"/>
        </w:r>
      </w:p>
    </w:sdtContent>
  </w:sdt>
  <w:p w:rsidR="00AF6525" w:rsidRDefault="00AF6525">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525" w:rsidRDefault="00AF6525">
    <w:pPr>
      <w:pStyle w:val="Zpat"/>
      <w:jc w:val="center"/>
    </w:pPr>
  </w:p>
  <w:p w:rsidR="00AF6525" w:rsidRDefault="00AF652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48F" w:rsidRDefault="00FD148F" w:rsidP="00FC32E1">
      <w:pPr>
        <w:spacing w:after="0" w:line="240" w:lineRule="auto"/>
      </w:pPr>
      <w:r>
        <w:separator/>
      </w:r>
    </w:p>
  </w:footnote>
  <w:footnote w:type="continuationSeparator" w:id="0">
    <w:p w:rsidR="00FD148F" w:rsidRDefault="00FD148F" w:rsidP="00FC32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525" w:rsidRDefault="00AF6525" w:rsidP="00AF6525">
    <w:pPr>
      <w:pStyle w:val="Zhlav"/>
      <w:jc w:val="center"/>
    </w:pPr>
    <w:r w:rsidRPr="00AF6525">
      <w:rPr>
        <w:noProof/>
        <w:lang w:eastAsia="cs-CZ"/>
      </w:rPr>
      <w:drawing>
        <wp:inline distT="0" distB="0" distL="0" distR="0">
          <wp:extent cx="2087880" cy="554990"/>
          <wp:effectExtent l="0" t="0" r="7620" b="0"/>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87880" cy="55499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016F6"/>
    <w:multiLevelType w:val="hybridMultilevel"/>
    <w:tmpl w:val="3F704112"/>
    <w:lvl w:ilvl="0" w:tplc="0405000F">
      <w:start w:val="1"/>
      <w:numFmt w:val="decimal"/>
      <w:lvlText w:val="%1."/>
      <w:lvlJc w:val="left"/>
      <w:pPr>
        <w:ind w:left="10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8B36E10"/>
    <w:multiLevelType w:val="hybridMultilevel"/>
    <w:tmpl w:val="C2048D48"/>
    <w:lvl w:ilvl="0" w:tplc="ABC08E68">
      <w:start w:val="1"/>
      <w:numFmt w:val="decimal"/>
      <w:lvlText w:val="%1."/>
      <w:lvlJc w:val="left"/>
      <w:pPr>
        <w:ind w:left="786"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A37B2"/>
    <w:rsid w:val="001250F9"/>
    <w:rsid w:val="00393A6A"/>
    <w:rsid w:val="003A2B54"/>
    <w:rsid w:val="00451BC3"/>
    <w:rsid w:val="004578B7"/>
    <w:rsid w:val="00457C33"/>
    <w:rsid w:val="0053061C"/>
    <w:rsid w:val="005B1BAB"/>
    <w:rsid w:val="00676B40"/>
    <w:rsid w:val="006972B5"/>
    <w:rsid w:val="006A0AA2"/>
    <w:rsid w:val="00743C12"/>
    <w:rsid w:val="00751E67"/>
    <w:rsid w:val="00770FD8"/>
    <w:rsid w:val="007A37B2"/>
    <w:rsid w:val="007C15FC"/>
    <w:rsid w:val="007C1EE6"/>
    <w:rsid w:val="007F634A"/>
    <w:rsid w:val="007F7FA2"/>
    <w:rsid w:val="00800F05"/>
    <w:rsid w:val="00817714"/>
    <w:rsid w:val="008E3A46"/>
    <w:rsid w:val="00A73700"/>
    <w:rsid w:val="00AF6525"/>
    <w:rsid w:val="00B55BF7"/>
    <w:rsid w:val="00B803B2"/>
    <w:rsid w:val="00BF14B5"/>
    <w:rsid w:val="00C60A6B"/>
    <w:rsid w:val="00D87C95"/>
    <w:rsid w:val="00E5652F"/>
    <w:rsid w:val="00EA105A"/>
    <w:rsid w:val="00FA2893"/>
    <w:rsid w:val="00FC32E1"/>
    <w:rsid w:val="00FD148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72B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A2893"/>
    <w:pPr>
      <w:ind w:left="720"/>
      <w:contextualSpacing/>
    </w:pPr>
  </w:style>
  <w:style w:type="paragraph" w:customStyle="1" w:styleId="Default">
    <w:name w:val="Default"/>
    <w:rsid w:val="00FA2893"/>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451BC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1BC3"/>
    <w:rPr>
      <w:rFonts w:ascii="Tahoma" w:hAnsi="Tahoma" w:cs="Tahoma"/>
      <w:sz w:val="16"/>
      <w:szCs w:val="16"/>
    </w:rPr>
  </w:style>
  <w:style w:type="paragraph" w:styleId="Zhlav">
    <w:name w:val="header"/>
    <w:basedOn w:val="Normln"/>
    <w:link w:val="ZhlavChar"/>
    <w:uiPriority w:val="99"/>
    <w:unhideWhenUsed/>
    <w:rsid w:val="00FC32E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C32E1"/>
  </w:style>
  <w:style w:type="paragraph" w:styleId="Zpat">
    <w:name w:val="footer"/>
    <w:basedOn w:val="Normln"/>
    <w:link w:val="ZpatChar"/>
    <w:uiPriority w:val="99"/>
    <w:unhideWhenUsed/>
    <w:rsid w:val="00FC32E1"/>
    <w:pPr>
      <w:tabs>
        <w:tab w:val="center" w:pos="4536"/>
        <w:tab w:val="right" w:pos="9072"/>
      </w:tabs>
      <w:spacing w:after="0" w:line="240" w:lineRule="auto"/>
    </w:pPr>
  </w:style>
  <w:style w:type="character" w:customStyle="1" w:styleId="ZpatChar">
    <w:name w:val="Zápatí Char"/>
    <w:basedOn w:val="Standardnpsmoodstavce"/>
    <w:link w:val="Zpat"/>
    <w:uiPriority w:val="99"/>
    <w:rsid w:val="00FC32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A2893"/>
    <w:pPr>
      <w:ind w:left="720"/>
      <w:contextualSpacing/>
    </w:pPr>
  </w:style>
  <w:style w:type="paragraph" w:customStyle="1" w:styleId="Default">
    <w:name w:val="Default"/>
    <w:rsid w:val="00FA2893"/>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451BC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1BC3"/>
    <w:rPr>
      <w:rFonts w:ascii="Tahoma" w:hAnsi="Tahoma" w:cs="Tahoma"/>
      <w:sz w:val="16"/>
      <w:szCs w:val="16"/>
    </w:rPr>
  </w:style>
  <w:style w:type="paragraph" w:styleId="Zhlav">
    <w:name w:val="header"/>
    <w:basedOn w:val="Normln"/>
    <w:link w:val="ZhlavChar"/>
    <w:uiPriority w:val="99"/>
    <w:unhideWhenUsed/>
    <w:rsid w:val="00FC32E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C32E1"/>
  </w:style>
  <w:style w:type="paragraph" w:styleId="Zpat">
    <w:name w:val="footer"/>
    <w:basedOn w:val="Normln"/>
    <w:link w:val="ZpatChar"/>
    <w:uiPriority w:val="99"/>
    <w:unhideWhenUsed/>
    <w:rsid w:val="00FC32E1"/>
    <w:pPr>
      <w:tabs>
        <w:tab w:val="center" w:pos="4536"/>
        <w:tab w:val="right" w:pos="9072"/>
      </w:tabs>
      <w:spacing w:after="0" w:line="240" w:lineRule="auto"/>
    </w:pPr>
  </w:style>
  <w:style w:type="character" w:customStyle="1" w:styleId="ZpatChar">
    <w:name w:val="Zápatí Char"/>
    <w:basedOn w:val="Standardnpsmoodstavce"/>
    <w:link w:val="Zpat"/>
    <w:uiPriority w:val="99"/>
    <w:rsid w:val="00FC32E1"/>
  </w:style>
</w:styles>
</file>

<file path=word/webSettings.xml><?xml version="1.0" encoding="utf-8"?>
<w:webSettings xmlns:r="http://schemas.openxmlformats.org/officeDocument/2006/relationships" xmlns:w="http://schemas.openxmlformats.org/wordprocessingml/2006/main">
  <w:divs>
    <w:div w:id="409884714">
      <w:bodyDiv w:val="1"/>
      <w:marLeft w:val="0"/>
      <w:marRight w:val="0"/>
      <w:marTop w:val="0"/>
      <w:marBottom w:val="0"/>
      <w:divBdr>
        <w:top w:val="none" w:sz="0" w:space="0" w:color="auto"/>
        <w:left w:val="none" w:sz="0" w:space="0" w:color="auto"/>
        <w:bottom w:val="none" w:sz="0" w:space="0" w:color="auto"/>
        <w:right w:val="none" w:sz="0" w:space="0" w:color="auto"/>
      </w:divBdr>
    </w:div>
    <w:div w:id="71403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1341</Words>
  <Characters>7915</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Redakce ČPS</dc:creator>
  <cp:lastModifiedBy>Pecanek 2</cp:lastModifiedBy>
  <cp:revision>2</cp:revision>
  <cp:lastPrinted>2014-07-25T04:23:00Z</cp:lastPrinted>
  <dcterms:created xsi:type="dcterms:W3CDTF">2014-07-25T08:56:00Z</dcterms:created>
  <dcterms:modified xsi:type="dcterms:W3CDTF">2014-07-25T08:56:00Z</dcterms:modified>
</cp:coreProperties>
</file>