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0F" w:rsidRDefault="002D030F" w:rsidP="005D427C">
      <w:pPr>
        <w:spacing w:after="0" w:line="240" w:lineRule="auto"/>
        <w:jc w:val="both"/>
        <w:rPr>
          <w:b/>
          <w:sz w:val="24"/>
          <w:szCs w:val="24"/>
        </w:rPr>
      </w:pPr>
    </w:p>
    <w:p w:rsidR="00536A7B" w:rsidRPr="00C87097" w:rsidRDefault="00536A7B" w:rsidP="005D427C">
      <w:pPr>
        <w:spacing w:after="0" w:line="240" w:lineRule="auto"/>
        <w:jc w:val="both"/>
        <w:rPr>
          <w:b/>
          <w:sz w:val="24"/>
          <w:szCs w:val="24"/>
        </w:rPr>
      </w:pPr>
    </w:p>
    <w:p w:rsidR="002D030F" w:rsidRDefault="00363282" w:rsidP="00774889">
      <w:pPr>
        <w:spacing w:after="0" w:line="240" w:lineRule="auto"/>
        <w:jc w:val="center"/>
        <w:rPr>
          <w:b/>
          <w:sz w:val="24"/>
          <w:szCs w:val="24"/>
        </w:rPr>
      </w:pPr>
      <w:r w:rsidRPr="00C87097">
        <w:rPr>
          <w:b/>
          <w:sz w:val="24"/>
          <w:szCs w:val="24"/>
        </w:rPr>
        <w:t>Stanovisko</w:t>
      </w:r>
      <w:r w:rsidR="006D36CD" w:rsidRPr="00C87097">
        <w:rPr>
          <w:b/>
          <w:sz w:val="24"/>
          <w:szCs w:val="24"/>
        </w:rPr>
        <w:t xml:space="preserve"> </w:t>
      </w:r>
      <w:r w:rsidR="000F4381" w:rsidRPr="00C87097">
        <w:rPr>
          <w:b/>
          <w:sz w:val="24"/>
          <w:szCs w:val="24"/>
        </w:rPr>
        <w:t xml:space="preserve">ČPS </w:t>
      </w:r>
      <w:r w:rsidR="006D36CD" w:rsidRPr="00C87097">
        <w:rPr>
          <w:b/>
          <w:sz w:val="24"/>
          <w:szCs w:val="24"/>
        </w:rPr>
        <w:t>k</w:t>
      </w:r>
      <w:r w:rsidR="000F4381" w:rsidRPr="00C87097">
        <w:rPr>
          <w:b/>
          <w:sz w:val="24"/>
          <w:szCs w:val="24"/>
        </w:rPr>
        <w:t> návrhu zákona, kterým se mění zákon č. 406/2000 Sb., o hospodaření energií, ve znění pozdějších předpisů, a zákon č. 634/2004 Sb., o správních poplatcích, ve znění pozdějších předpisů</w:t>
      </w:r>
    </w:p>
    <w:p w:rsidR="00536A7B" w:rsidRPr="00C87097" w:rsidRDefault="00536A7B" w:rsidP="00774889">
      <w:pPr>
        <w:spacing w:after="0" w:line="240" w:lineRule="auto"/>
        <w:jc w:val="center"/>
        <w:rPr>
          <w:b/>
          <w:sz w:val="24"/>
          <w:szCs w:val="24"/>
        </w:rPr>
      </w:pPr>
    </w:p>
    <w:p w:rsidR="000E37BF" w:rsidRPr="00C87097" w:rsidRDefault="000F4381" w:rsidP="000F4381">
      <w:pPr>
        <w:spacing w:before="120" w:after="0" w:line="240" w:lineRule="auto"/>
        <w:jc w:val="both"/>
        <w:rPr>
          <w:iCs/>
          <w:sz w:val="24"/>
          <w:szCs w:val="24"/>
        </w:rPr>
      </w:pPr>
      <w:r w:rsidRPr="00C87097">
        <w:rPr>
          <w:iCs/>
          <w:sz w:val="24"/>
          <w:szCs w:val="24"/>
        </w:rPr>
        <w:t xml:space="preserve">Novela zákona o hospodaření energií č. 406/2000 Sb. (dále jen „Zákon“) by dle důvodové zprávy a dle jeho doplňovaných ustanovení měla </w:t>
      </w:r>
      <w:r w:rsidR="00BF2C72">
        <w:rPr>
          <w:iCs/>
          <w:sz w:val="24"/>
          <w:szCs w:val="24"/>
        </w:rPr>
        <w:t xml:space="preserve">mimo jiné </w:t>
      </w:r>
      <w:r w:rsidRPr="00C87097">
        <w:rPr>
          <w:iCs/>
          <w:sz w:val="24"/>
          <w:szCs w:val="24"/>
        </w:rPr>
        <w:t>zapracovat Směrnici 2012/27/EU (dále jen „Směrnice“). Bohužel toto zapracování je v mnoha případech pouze v obecné rovině nebo neúplné</w:t>
      </w:r>
      <w:r w:rsidR="00943355" w:rsidRPr="00C87097">
        <w:rPr>
          <w:iCs/>
          <w:sz w:val="24"/>
          <w:szCs w:val="24"/>
        </w:rPr>
        <w:t>,</w:t>
      </w:r>
      <w:r w:rsidRPr="00C87097">
        <w:rPr>
          <w:iCs/>
          <w:sz w:val="24"/>
          <w:szCs w:val="24"/>
        </w:rPr>
        <w:t xml:space="preserve"> a </w:t>
      </w:r>
      <w:r w:rsidR="000D0AA5" w:rsidRPr="00C87097">
        <w:rPr>
          <w:iCs/>
          <w:sz w:val="24"/>
          <w:szCs w:val="24"/>
        </w:rPr>
        <w:t xml:space="preserve">to </w:t>
      </w:r>
      <w:r w:rsidR="001C6B0A" w:rsidRPr="00C87097">
        <w:rPr>
          <w:iCs/>
          <w:sz w:val="24"/>
          <w:szCs w:val="24"/>
        </w:rPr>
        <w:t>zejména</w:t>
      </w:r>
      <w:r w:rsidR="000D0AA5" w:rsidRPr="00C87097">
        <w:rPr>
          <w:iCs/>
          <w:sz w:val="24"/>
          <w:szCs w:val="24"/>
        </w:rPr>
        <w:t xml:space="preserve"> ve vztahu k </w:t>
      </w:r>
      <w:r w:rsidRPr="00C87097">
        <w:rPr>
          <w:iCs/>
          <w:sz w:val="24"/>
          <w:szCs w:val="24"/>
        </w:rPr>
        <w:t xml:space="preserve">čl. 7 Směrnice, který je z pohledu </w:t>
      </w:r>
      <w:r w:rsidR="001C6B0A" w:rsidRPr="00C87097">
        <w:rPr>
          <w:iCs/>
          <w:sz w:val="24"/>
          <w:szCs w:val="24"/>
        </w:rPr>
        <w:t xml:space="preserve">naplnění celkového úkolu v energetických úsporách vyplývajících pro ČR z této Směrnice nejdůležitější. Pro naplnění tohoto cíle má pak zcela zásadní význam zajištění </w:t>
      </w:r>
      <w:r w:rsidRPr="00C87097">
        <w:rPr>
          <w:iCs/>
          <w:sz w:val="24"/>
          <w:szCs w:val="24"/>
        </w:rPr>
        <w:t xml:space="preserve">potřebných financí, </w:t>
      </w:r>
      <w:r w:rsidR="001C6B0A" w:rsidRPr="00C87097">
        <w:rPr>
          <w:iCs/>
          <w:sz w:val="24"/>
          <w:szCs w:val="24"/>
        </w:rPr>
        <w:t xml:space="preserve">což </w:t>
      </w:r>
      <w:r w:rsidRPr="00C87097">
        <w:rPr>
          <w:iCs/>
          <w:sz w:val="24"/>
          <w:szCs w:val="24"/>
        </w:rPr>
        <w:t>nebyl</w:t>
      </w:r>
      <w:r w:rsidR="001C6B0A" w:rsidRPr="00C87097">
        <w:rPr>
          <w:iCs/>
          <w:sz w:val="24"/>
          <w:szCs w:val="24"/>
        </w:rPr>
        <w:t>o</w:t>
      </w:r>
      <w:r w:rsidRPr="00C87097">
        <w:rPr>
          <w:iCs/>
          <w:sz w:val="24"/>
          <w:szCs w:val="24"/>
        </w:rPr>
        <w:t xml:space="preserve"> </w:t>
      </w:r>
      <w:r w:rsidR="001C6B0A" w:rsidRPr="00C87097">
        <w:rPr>
          <w:iCs/>
          <w:sz w:val="24"/>
          <w:szCs w:val="24"/>
        </w:rPr>
        <w:t>předloženou novelou Zákona</w:t>
      </w:r>
      <w:r w:rsidRPr="00C87097">
        <w:rPr>
          <w:iCs/>
          <w:sz w:val="24"/>
          <w:szCs w:val="24"/>
        </w:rPr>
        <w:t xml:space="preserve"> postižen</w:t>
      </w:r>
      <w:r w:rsidR="001C6B0A" w:rsidRPr="00C87097">
        <w:rPr>
          <w:iCs/>
          <w:sz w:val="24"/>
          <w:szCs w:val="24"/>
        </w:rPr>
        <w:t>o</w:t>
      </w:r>
      <w:r w:rsidRPr="00C87097">
        <w:rPr>
          <w:iCs/>
          <w:sz w:val="24"/>
          <w:szCs w:val="24"/>
        </w:rPr>
        <w:t xml:space="preserve"> vůbec. </w:t>
      </w:r>
      <w:r w:rsidR="000D0AA5" w:rsidRPr="00C87097">
        <w:rPr>
          <w:iCs/>
          <w:sz w:val="24"/>
          <w:szCs w:val="24"/>
        </w:rPr>
        <w:t>Z č</w:t>
      </w:r>
      <w:r w:rsidRPr="00C87097">
        <w:rPr>
          <w:iCs/>
          <w:sz w:val="24"/>
          <w:szCs w:val="24"/>
        </w:rPr>
        <w:t xml:space="preserve">l. 7 Směrnice </w:t>
      </w:r>
      <w:r w:rsidR="000D0AA5" w:rsidRPr="00C87097">
        <w:rPr>
          <w:iCs/>
          <w:sz w:val="24"/>
          <w:szCs w:val="24"/>
        </w:rPr>
        <w:t>dovozujeme</w:t>
      </w:r>
      <w:r w:rsidRPr="00C87097">
        <w:rPr>
          <w:iCs/>
          <w:sz w:val="24"/>
          <w:szCs w:val="24"/>
        </w:rPr>
        <w:t xml:space="preserve">, a to bez ohledu </w:t>
      </w:r>
      <w:r w:rsidR="000D0AA5" w:rsidRPr="00C87097">
        <w:rPr>
          <w:iCs/>
          <w:sz w:val="24"/>
          <w:szCs w:val="24"/>
        </w:rPr>
        <w:t xml:space="preserve">na to, </w:t>
      </w:r>
      <w:r w:rsidRPr="00C87097">
        <w:rPr>
          <w:iCs/>
          <w:sz w:val="24"/>
          <w:szCs w:val="24"/>
        </w:rPr>
        <w:t xml:space="preserve">jaký způsob jeho plnění se použije (povinné schéma nebo politická opatření), </w:t>
      </w:r>
      <w:r w:rsidR="000D0AA5" w:rsidRPr="00C87097">
        <w:rPr>
          <w:iCs/>
          <w:sz w:val="24"/>
          <w:szCs w:val="24"/>
        </w:rPr>
        <w:t xml:space="preserve">že na úrovni Zákona by měl být </w:t>
      </w:r>
      <w:r w:rsidR="00031B5E" w:rsidRPr="00C87097">
        <w:rPr>
          <w:iCs/>
          <w:sz w:val="24"/>
          <w:szCs w:val="24"/>
        </w:rPr>
        <w:t>minimálně stanoven</w:t>
      </w:r>
      <w:r w:rsidRPr="00C87097">
        <w:rPr>
          <w:iCs/>
          <w:sz w:val="24"/>
          <w:szCs w:val="24"/>
        </w:rPr>
        <w:t xml:space="preserve"> </w:t>
      </w:r>
      <w:r w:rsidR="000D0AA5" w:rsidRPr="00C87097">
        <w:rPr>
          <w:iCs/>
          <w:sz w:val="24"/>
          <w:szCs w:val="24"/>
        </w:rPr>
        <w:t xml:space="preserve">určitý legislativní rámec pro </w:t>
      </w:r>
      <w:r w:rsidR="00031B5E" w:rsidRPr="00C87097">
        <w:rPr>
          <w:iCs/>
          <w:sz w:val="24"/>
          <w:szCs w:val="24"/>
        </w:rPr>
        <w:t xml:space="preserve">nastavení a </w:t>
      </w:r>
      <w:r w:rsidR="000D0AA5" w:rsidRPr="00C87097">
        <w:rPr>
          <w:iCs/>
          <w:sz w:val="24"/>
          <w:szCs w:val="24"/>
        </w:rPr>
        <w:t xml:space="preserve">fungování </w:t>
      </w:r>
      <w:r w:rsidR="00031B5E" w:rsidRPr="00C87097">
        <w:rPr>
          <w:iCs/>
          <w:sz w:val="24"/>
          <w:szCs w:val="24"/>
        </w:rPr>
        <w:t xml:space="preserve">národního </w:t>
      </w:r>
      <w:r w:rsidRPr="00C87097">
        <w:rPr>
          <w:iCs/>
          <w:sz w:val="24"/>
          <w:szCs w:val="24"/>
        </w:rPr>
        <w:t xml:space="preserve">systému, </w:t>
      </w:r>
      <w:r w:rsidR="000D0AA5" w:rsidRPr="00C87097">
        <w:rPr>
          <w:iCs/>
          <w:sz w:val="24"/>
          <w:szCs w:val="24"/>
        </w:rPr>
        <w:t xml:space="preserve">jehož účelem má být dosažení úspor energie u konečných zákazníků, </w:t>
      </w:r>
      <w:r w:rsidR="00685FA7" w:rsidRPr="00C87097">
        <w:rPr>
          <w:iCs/>
          <w:sz w:val="24"/>
          <w:szCs w:val="24"/>
        </w:rPr>
        <w:t xml:space="preserve">a </w:t>
      </w:r>
      <w:r w:rsidR="00F76FB1" w:rsidRPr="00C87097">
        <w:rPr>
          <w:iCs/>
          <w:sz w:val="24"/>
          <w:szCs w:val="24"/>
        </w:rPr>
        <w:t>to</w:t>
      </w:r>
      <w:r w:rsidR="00685FA7" w:rsidRPr="00C87097">
        <w:rPr>
          <w:iCs/>
          <w:sz w:val="24"/>
          <w:szCs w:val="24"/>
        </w:rPr>
        <w:t xml:space="preserve"> </w:t>
      </w:r>
      <w:r w:rsidR="00F76FB1" w:rsidRPr="00C87097">
        <w:rPr>
          <w:iCs/>
          <w:sz w:val="24"/>
          <w:szCs w:val="24"/>
        </w:rPr>
        <w:t>mimo jiné</w:t>
      </w:r>
      <w:r w:rsidR="00C54BBC" w:rsidRPr="00C87097">
        <w:rPr>
          <w:iCs/>
          <w:sz w:val="24"/>
          <w:szCs w:val="24"/>
        </w:rPr>
        <w:t xml:space="preserve"> </w:t>
      </w:r>
      <w:r w:rsidR="00B14160" w:rsidRPr="00C87097">
        <w:rPr>
          <w:iCs/>
          <w:sz w:val="24"/>
          <w:szCs w:val="24"/>
        </w:rPr>
        <w:t xml:space="preserve">jednoznačné a transparentní stanovení </w:t>
      </w:r>
      <w:r w:rsidR="00C54BBC" w:rsidRPr="00C87097">
        <w:rPr>
          <w:iCs/>
          <w:sz w:val="24"/>
          <w:szCs w:val="24"/>
        </w:rPr>
        <w:t>podrobnost</w:t>
      </w:r>
      <w:r w:rsidR="00B14160" w:rsidRPr="00C87097">
        <w:rPr>
          <w:iCs/>
          <w:sz w:val="24"/>
          <w:szCs w:val="24"/>
        </w:rPr>
        <w:t>í</w:t>
      </w:r>
      <w:r w:rsidR="00C54BBC" w:rsidRPr="00C87097">
        <w:rPr>
          <w:iCs/>
          <w:sz w:val="24"/>
          <w:szCs w:val="24"/>
        </w:rPr>
        <w:t xml:space="preserve"> ohledně sledování</w:t>
      </w:r>
      <w:r w:rsidR="00F76FB1" w:rsidRPr="00C87097">
        <w:rPr>
          <w:iCs/>
          <w:sz w:val="24"/>
          <w:szCs w:val="24"/>
        </w:rPr>
        <w:t>, kontroly</w:t>
      </w:r>
      <w:r w:rsidR="00C54BBC" w:rsidRPr="00C87097">
        <w:rPr>
          <w:iCs/>
          <w:sz w:val="24"/>
          <w:szCs w:val="24"/>
        </w:rPr>
        <w:t xml:space="preserve"> a ověřování </w:t>
      </w:r>
      <w:r w:rsidR="00F76FB1" w:rsidRPr="00C87097">
        <w:rPr>
          <w:iCs/>
          <w:sz w:val="24"/>
          <w:szCs w:val="24"/>
        </w:rPr>
        <w:t xml:space="preserve">plnění cílů Směrnice </w:t>
      </w:r>
      <w:r w:rsidR="00984E40">
        <w:rPr>
          <w:iCs/>
          <w:sz w:val="24"/>
          <w:szCs w:val="24"/>
        </w:rPr>
        <w:t>(v souladu s </w:t>
      </w:r>
      <w:r w:rsidRPr="00C87097">
        <w:rPr>
          <w:iCs/>
          <w:sz w:val="24"/>
          <w:szCs w:val="24"/>
        </w:rPr>
        <w:t xml:space="preserve">požadavky </w:t>
      </w:r>
      <w:r w:rsidR="00F76FB1" w:rsidRPr="00C87097">
        <w:rPr>
          <w:iCs/>
          <w:sz w:val="24"/>
          <w:szCs w:val="24"/>
        </w:rPr>
        <w:t xml:space="preserve">této </w:t>
      </w:r>
      <w:r w:rsidRPr="00C87097">
        <w:rPr>
          <w:iCs/>
          <w:sz w:val="24"/>
          <w:szCs w:val="24"/>
        </w:rPr>
        <w:t>Směrnice).</w:t>
      </w:r>
      <w:r w:rsidR="00C52859" w:rsidRPr="00C87097">
        <w:rPr>
          <w:iCs/>
          <w:sz w:val="24"/>
          <w:szCs w:val="24"/>
        </w:rPr>
        <w:t xml:space="preserve"> K tomu pro úplnost dodáváme, že </w:t>
      </w:r>
      <w:r w:rsidR="00685FA7" w:rsidRPr="00C87097">
        <w:rPr>
          <w:iCs/>
          <w:sz w:val="24"/>
          <w:szCs w:val="24"/>
        </w:rPr>
        <w:t xml:space="preserve">v konečném </w:t>
      </w:r>
      <w:r w:rsidR="00F76FB1" w:rsidRPr="00C87097">
        <w:rPr>
          <w:iCs/>
          <w:sz w:val="24"/>
          <w:szCs w:val="24"/>
        </w:rPr>
        <w:t>důsledku tento přístup může být v rozporu s konstantní judikaturou Soudního dvora EU</w:t>
      </w:r>
      <w:r w:rsidR="00B14160" w:rsidRPr="00C87097">
        <w:rPr>
          <w:iCs/>
          <w:sz w:val="24"/>
          <w:szCs w:val="24"/>
        </w:rPr>
        <w:t xml:space="preserve">, podle které je </w:t>
      </w:r>
      <w:r w:rsidR="00491215" w:rsidRPr="00C87097">
        <w:rPr>
          <w:iCs/>
          <w:sz w:val="24"/>
          <w:szCs w:val="24"/>
        </w:rPr>
        <w:t>v naprosté</w:t>
      </w:r>
      <w:r w:rsidR="00B14160" w:rsidRPr="00C87097">
        <w:rPr>
          <w:iCs/>
          <w:sz w:val="24"/>
          <w:szCs w:val="24"/>
        </w:rPr>
        <w:t xml:space="preserve"> většině případů pro správnou a úplnou transpozici předpisů EU nezbytné provedení </w:t>
      </w:r>
      <w:r w:rsidR="00491215" w:rsidRPr="00C87097">
        <w:rPr>
          <w:iCs/>
          <w:sz w:val="24"/>
          <w:szCs w:val="24"/>
        </w:rPr>
        <w:t>na nár</w:t>
      </w:r>
      <w:r w:rsidR="00E918E7" w:rsidRPr="00C87097">
        <w:rPr>
          <w:iCs/>
          <w:sz w:val="24"/>
          <w:szCs w:val="24"/>
        </w:rPr>
        <w:t>o</w:t>
      </w:r>
      <w:r w:rsidR="00491215" w:rsidRPr="00C87097">
        <w:rPr>
          <w:iCs/>
          <w:sz w:val="24"/>
          <w:szCs w:val="24"/>
        </w:rPr>
        <w:t xml:space="preserve">dní úrovni </w:t>
      </w:r>
      <w:r w:rsidR="00B14160" w:rsidRPr="00C87097">
        <w:rPr>
          <w:iCs/>
          <w:sz w:val="24"/>
          <w:szCs w:val="24"/>
        </w:rPr>
        <w:t>ve formě závazných právních předpisů</w:t>
      </w:r>
      <w:r w:rsidR="00491215" w:rsidRPr="00C87097">
        <w:rPr>
          <w:iCs/>
          <w:sz w:val="24"/>
          <w:szCs w:val="24"/>
        </w:rPr>
        <w:t>.</w:t>
      </w:r>
      <w:r w:rsidR="00F76FB1" w:rsidRPr="00C87097">
        <w:rPr>
          <w:rStyle w:val="Znakapoznpodarou"/>
          <w:iCs/>
          <w:sz w:val="24"/>
          <w:szCs w:val="24"/>
        </w:rPr>
        <w:footnoteReference w:id="1"/>
      </w:r>
      <w:r w:rsidR="00F76FB1" w:rsidRPr="00C87097">
        <w:rPr>
          <w:iCs/>
          <w:sz w:val="24"/>
          <w:szCs w:val="24"/>
        </w:rPr>
        <w:t xml:space="preserve"> </w:t>
      </w:r>
    </w:p>
    <w:p w:rsidR="00DF1D14" w:rsidRPr="00C87097" w:rsidRDefault="000E37BF" w:rsidP="000F4381">
      <w:pPr>
        <w:spacing w:before="120" w:after="0" w:line="240" w:lineRule="auto"/>
        <w:jc w:val="both"/>
        <w:rPr>
          <w:iCs/>
          <w:sz w:val="24"/>
          <w:szCs w:val="24"/>
        </w:rPr>
      </w:pPr>
      <w:r w:rsidRPr="00C87097">
        <w:rPr>
          <w:iCs/>
          <w:sz w:val="24"/>
          <w:szCs w:val="24"/>
        </w:rPr>
        <w:t xml:space="preserve">Předložený </w:t>
      </w:r>
      <w:r w:rsidR="00DF1D14" w:rsidRPr="00C87097">
        <w:rPr>
          <w:iCs/>
          <w:sz w:val="24"/>
          <w:szCs w:val="24"/>
        </w:rPr>
        <w:t>návrh</w:t>
      </w:r>
      <w:r w:rsidRPr="00C87097">
        <w:rPr>
          <w:iCs/>
          <w:sz w:val="24"/>
          <w:szCs w:val="24"/>
        </w:rPr>
        <w:t xml:space="preserve"> novely Zákona rovněž neobsahuje ustanovení potřebná pro zajištění řádné implementace článku 5 Směrnice</w:t>
      </w:r>
      <w:r w:rsidR="00DF1D14" w:rsidRPr="00C87097">
        <w:rPr>
          <w:iCs/>
          <w:sz w:val="24"/>
          <w:szCs w:val="24"/>
        </w:rPr>
        <w:t>,</w:t>
      </w:r>
      <w:r w:rsidR="00685FA7" w:rsidRPr="00C87097">
        <w:rPr>
          <w:iCs/>
          <w:sz w:val="24"/>
          <w:szCs w:val="24"/>
        </w:rPr>
        <w:t xml:space="preserve"> </w:t>
      </w:r>
      <w:r w:rsidRPr="00C87097">
        <w:rPr>
          <w:iCs/>
          <w:sz w:val="24"/>
          <w:szCs w:val="24"/>
        </w:rPr>
        <w:t xml:space="preserve">tj. </w:t>
      </w:r>
      <w:r w:rsidR="00DF1D14" w:rsidRPr="00C87097">
        <w:rPr>
          <w:iCs/>
          <w:sz w:val="24"/>
          <w:szCs w:val="24"/>
        </w:rPr>
        <w:t xml:space="preserve">aby se </w:t>
      </w:r>
      <w:r w:rsidRPr="00C87097">
        <w:rPr>
          <w:iCs/>
          <w:sz w:val="24"/>
          <w:szCs w:val="24"/>
        </w:rPr>
        <w:t xml:space="preserve">ročně </w:t>
      </w:r>
      <w:r w:rsidR="00DF1D14" w:rsidRPr="00C87097">
        <w:rPr>
          <w:iCs/>
          <w:sz w:val="24"/>
          <w:szCs w:val="24"/>
        </w:rPr>
        <w:t xml:space="preserve">provedla </w:t>
      </w:r>
      <w:r w:rsidRPr="00C87097">
        <w:rPr>
          <w:iCs/>
          <w:sz w:val="24"/>
          <w:szCs w:val="24"/>
        </w:rPr>
        <w:t xml:space="preserve">renovace 3% </w:t>
      </w:r>
      <w:r w:rsidR="00DF1D14" w:rsidRPr="00C87097">
        <w:rPr>
          <w:iCs/>
          <w:sz w:val="24"/>
          <w:szCs w:val="24"/>
        </w:rPr>
        <w:t>podlahové plochy budov ve vlastnictví nebo užívání ústředních vládních institucí.</w:t>
      </w:r>
    </w:p>
    <w:p w:rsidR="00E918E7" w:rsidRPr="00C87097" w:rsidRDefault="000F4381" w:rsidP="000F4381">
      <w:pPr>
        <w:spacing w:after="0" w:line="240" w:lineRule="auto"/>
        <w:jc w:val="both"/>
        <w:rPr>
          <w:iCs/>
          <w:sz w:val="24"/>
          <w:szCs w:val="24"/>
        </w:rPr>
      </w:pPr>
      <w:r w:rsidRPr="00C87097">
        <w:rPr>
          <w:iCs/>
          <w:sz w:val="24"/>
          <w:szCs w:val="24"/>
        </w:rPr>
        <w:t xml:space="preserve">Doporučujeme provést řádnou </w:t>
      </w:r>
      <w:r w:rsidR="00E918E7" w:rsidRPr="00C87097">
        <w:rPr>
          <w:iCs/>
          <w:sz w:val="24"/>
          <w:szCs w:val="24"/>
        </w:rPr>
        <w:t xml:space="preserve">transpozici </w:t>
      </w:r>
      <w:r w:rsidRPr="00C87097">
        <w:rPr>
          <w:iCs/>
          <w:sz w:val="24"/>
          <w:szCs w:val="24"/>
        </w:rPr>
        <w:t>Směrnice jako celku s tím že, pokud bud</w:t>
      </w:r>
      <w:r w:rsidR="00E918E7" w:rsidRPr="00C87097">
        <w:rPr>
          <w:iCs/>
          <w:sz w:val="24"/>
          <w:szCs w:val="24"/>
        </w:rPr>
        <w:t>ou její požadavky zapracovány</w:t>
      </w:r>
      <w:r w:rsidRPr="00C87097">
        <w:rPr>
          <w:iCs/>
          <w:sz w:val="24"/>
          <w:szCs w:val="24"/>
        </w:rPr>
        <w:t xml:space="preserve"> do různých zákonů </w:t>
      </w:r>
      <w:r w:rsidR="00E918E7" w:rsidRPr="00C87097">
        <w:rPr>
          <w:iCs/>
          <w:sz w:val="24"/>
          <w:szCs w:val="24"/>
        </w:rPr>
        <w:t>(např. v rámci připravované novely energetického zákona)</w:t>
      </w:r>
      <w:r w:rsidR="00536A7B">
        <w:rPr>
          <w:iCs/>
          <w:sz w:val="24"/>
          <w:szCs w:val="24"/>
        </w:rPr>
        <w:t>,</w:t>
      </w:r>
      <w:r w:rsidR="00E918E7" w:rsidRPr="00C87097">
        <w:rPr>
          <w:iCs/>
          <w:sz w:val="24"/>
          <w:szCs w:val="24"/>
        </w:rPr>
        <w:t xml:space="preserve"> </w:t>
      </w:r>
      <w:r w:rsidRPr="00C87097">
        <w:rPr>
          <w:iCs/>
          <w:sz w:val="24"/>
          <w:szCs w:val="24"/>
        </w:rPr>
        <w:t xml:space="preserve">je nutné tuto úpravu (změnu více právních předpisů) zpracovat </w:t>
      </w:r>
      <w:r w:rsidR="00536A7B">
        <w:rPr>
          <w:iCs/>
          <w:sz w:val="24"/>
          <w:szCs w:val="24"/>
        </w:rPr>
        <w:t>a </w:t>
      </w:r>
      <w:r w:rsidR="00E918E7" w:rsidRPr="00C87097">
        <w:rPr>
          <w:iCs/>
          <w:sz w:val="24"/>
          <w:szCs w:val="24"/>
        </w:rPr>
        <w:t xml:space="preserve">předložit </w:t>
      </w:r>
      <w:r w:rsidRPr="00C87097">
        <w:rPr>
          <w:iCs/>
          <w:sz w:val="24"/>
          <w:szCs w:val="24"/>
        </w:rPr>
        <w:t>zároveň.</w:t>
      </w:r>
    </w:p>
    <w:p w:rsidR="000F4381" w:rsidRPr="00C87097" w:rsidRDefault="000F4381" w:rsidP="000F4381">
      <w:pPr>
        <w:spacing w:after="0" w:line="240" w:lineRule="auto"/>
        <w:jc w:val="both"/>
        <w:rPr>
          <w:iCs/>
          <w:sz w:val="24"/>
          <w:szCs w:val="24"/>
        </w:rPr>
      </w:pPr>
    </w:p>
    <w:p w:rsidR="000F4381" w:rsidRPr="00C87097" w:rsidRDefault="000F4381" w:rsidP="00536A7B">
      <w:pPr>
        <w:spacing w:after="120" w:line="240" w:lineRule="auto"/>
        <w:jc w:val="both"/>
        <w:rPr>
          <w:iCs/>
          <w:sz w:val="24"/>
          <w:szCs w:val="24"/>
          <w:u w:val="single"/>
        </w:rPr>
      </w:pPr>
      <w:r w:rsidRPr="00C87097">
        <w:rPr>
          <w:iCs/>
          <w:sz w:val="24"/>
          <w:szCs w:val="24"/>
          <w:u w:val="single"/>
        </w:rPr>
        <w:t>Připomínky k jednotlivým paragrafům</w:t>
      </w:r>
    </w:p>
    <w:p w:rsidR="009B5E95" w:rsidRPr="00C87097" w:rsidRDefault="000F4381" w:rsidP="000F4381">
      <w:pPr>
        <w:tabs>
          <w:tab w:val="left" w:pos="709"/>
        </w:tabs>
        <w:spacing w:after="120" w:line="240" w:lineRule="auto"/>
        <w:ind w:left="567" w:hanging="567"/>
        <w:jc w:val="both"/>
        <w:rPr>
          <w:iCs/>
          <w:sz w:val="24"/>
          <w:szCs w:val="24"/>
        </w:rPr>
      </w:pPr>
      <w:r w:rsidRPr="00C87097">
        <w:rPr>
          <w:b/>
          <w:iCs/>
          <w:sz w:val="24"/>
          <w:szCs w:val="24"/>
        </w:rPr>
        <w:t>§ 2</w:t>
      </w:r>
      <w:r w:rsidRPr="00C87097">
        <w:rPr>
          <w:iCs/>
          <w:sz w:val="24"/>
          <w:szCs w:val="24"/>
        </w:rPr>
        <w:tab/>
        <w:t>Některé definice (byť doslovně opsané ze Směrnice) v kontextu se Zákonem nedávají smysl a samotně vyznívají i značně nesrozumitelně</w:t>
      </w:r>
      <w:r w:rsidR="00442ECB" w:rsidRPr="00C87097">
        <w:rPr>
          <w:iCs/>
          <w:sz w:val="24"/>
          <w:szCs w:val="24"/>
        </w:rPr>
        <w:t xml:space="preserve"> či nejednoznačně</w:t>
      </w:r>
      <w:r w:rsidRPr="00C87097">
        <w:rPr>
          <w:iCs/>
          <w:sz w:val="24"/>
          <w:szCs w:val="24"/>
        </w:rPr>
        <w:t>. Zejména se jedná o definici systému hospodaření s energií, zvýšení účinnosti užití energie a smlouvy o</w:t>
      </w:r>
      <w:r w:rsidR="00536A7B">
        <w:rPr>
          <w:iCs/>
          <w:sz w:val="24"/>
          <w:szCs w:val="24"/>
        </w:rPr>
        <w:t> </w:t>
      </w:r>
      <w:r w:rsidRPr="00C87097">
        <w:rPr>
          <w:iCs/>
          <w:sz w:val="24"/>
          <w:szCs w:val="24"/>
        </w:rPr>
        <w:t>energetických službách.</w:t>
      </w:r>
      <w:r w:rsidR="009B5E95" w:rsidRPr="00C87097">
        <w:rPr>
          <w:iCs/>
          <w:sz w:val="24"/>
          <w:szCs w:val="24"/>
        </w:rPr>
        <w:t xml:space="preserve"> Navíc v některých případech dochází k jejich nežádoucímu zúžení</w:t>
      </w:r>
      <w:r w:rsidR="00362EAA" w:rsidRPr="00C87097">
        <w:rPr>
          <w:iCs/>
          <w:sz w:val="24"/>
          <w:szCs w:val="24"/>
        </w:rPr>
        <w:t>, resp. zpřísnění požadavků</w:t>
      </w:r>
      <w:r w:rsidR="009B5E95" w:rsidRPr="00C87097">
        <w:rPr>
          <w:iCs/>
          <w:sz w:val="24"/>
          <w:szCs w:val="24"/>
        </w:rPr>
        <w:t xml:space="preserve"> oproti </w:t>
      </w:r>
      <w:r w:rsidR="00A94DAE" w:rsidRPr="00C87097">
        <w:rPr>
          <w:iCs/>
          <w:sz w:val="24"/>
          <w:szCs w:val="24"/>
        </w:rPr>
        <w:t xml:space="preserve">definicím ve </w:t>
      </w:r>
      <w:r w:rsidR="009B5E95" w:rsidRPr="00C87097">
        <w:rPr>
          <w:iCs/>
          <w:sz w:val="24"/>
          <w:szCs w:val="24"/>
        </w:rPr>
        <w:t>Směrnici</w:t>
      </w:r>
      <w:r w:rsidR="001F2C51" w:rsidRPr="00C87097">
        <w:rPr>
          <w:iCs/>
          <w:sz w:val="24"/>
          <w:szCs w:val="24"/>
        </w:rPr>
        <w:t>.</w:t>
      </w:r>
    </w:p>
    <w:p w:rsidR="00822C71" w:rsidRPr="00C87097" w:rsidRDefault="00822C71" w:rsidP="00536A7B">
      <w:pPr>
        <w:tabs>
          <w:tab w:val="left" w:pos="709"/>
        </w:tabs>
        <w:spacing w:before="120" w:after="0" w:line="240" w:lineRule="auto"/>
        <w:ind w:left="567" w:hanging="567"/>
        <w:jc w:val="both"/>
        <w:rPr>
          <w:iCs/>
          <w:sz w:val="24"/>
          <w:szCs w:val="24"/>
        </w:rPr>
      </w:pPr>
      <w:r w:rsidRPr="00C87097">
        <w:rPr>
          <w:iCs/>
          <w:sz w:val="24"/>
          <w:szCs w:val="24"/>
        </w:rPr>
        <w:t>Konkrétní návrhy:</w:t>
      </w:r>
    </w:p>
    <w:p w:rsidR="001F2C51" w:rsidRPr="00C87097" w:rsidRDefault="001F2C51" w:rsidP="001C6B0A">
      <w:pPr>
        <w:pStyle w:val="Bezmezer"/>
        <w:numPr>
          <w:ilvl w:val="0"/>
          <w:numId w:val="8"/>
        </w:numPr>
        <w:ind w:hanging="294"/>
        <w:rPr>
          <w:iCs/>
          <w:sz w:val="24"/>
          <w:szCs w:val="24"/>
        </w:rPr>
      </w:pPr>
      <w:r w:rsidRPr="00C87097">
        <w:rPr>
          <w:b/>
          <w:iCs/>
          <w:sz w:val="24"/>
          <w:szCs w:val="24"/>
        </w:rPr>
        <w:t xml:space="preserve">§ 2 </w:t>
      </w:r>
      <w:r w:rsidR="00536A7B">
        <w:rPr>
          <w:b/>
          <w:iCs/>
          <w:sz w:val="24"/>
          <w:szCs w:val="24"/>
        </w:rPr>
        <w:t xml:space="preserve">odst. 1 </w:t>
      </w:r>
      <w:r w:rsidRPr="00C87097">
        <w:rPr>
          <w:b/>
          <w:iCs/>
          <w:sz w:val="24"/>
          <w:szCs w:val="24"/>
        </w:rPr>
        <w:t>písm. b)</w:t>
      </w:r>
      <w:r w:rsidRPr="00C87097">
        <w:rPr>
          <w:iCs/>
          <w:sz w:val="24"/>
          <w:szCs w:val="24"/>
        </w:rPr>
        <w:t xml:space="preserve"> vypustit definici pojmu „systém hospodaření s energií“</w:t>
      </w:r>
    </w:p>
    <w:p w:rsidR="001F2C51" w:rsidRPr="00C87097" w:rsidRDefault="001F2C51" w:rsidP="00536A7B">
      <w:pPr>
        <w:pStyle w:val="Bezmezer"/>
        <w:spacing w:before="60"/>
        <w:ind w:left="709"/>
        <w:rPr>
          <w:iCs/>
          <w:sz w:val="24"/>
          <w:szCs w:val="24"/>
          <w:u w:val="single"/>
        </w:rPr>
      </w:pPr>
      <w:r w:rsidRPr="00C87097">
        <w:rPr>
          <w:iCs/>
          <w:sz w:val="24"/>
          <w:szCs w:val="24"/>
          <w:u w:val="single"/>
        </w:rPr>
        <w:t>Zdůvod</w:t>
      </w:r>
      <w:r w:rsidR="00536A7B">
        <w:rPr>
          <w:iCs/>
          <w:sz w:val="24"/>
          <w:szCs w:val="24"/>
          <w:u w:val="single"/>
        </w:rPr>
        <w:t>n</w:t>
      </w:r>
      <w:r w:rsidRPr="00C87097">
        <w:rPr>
          <w:iCs/>
          <w:sz w:val="24"/>
          <w:szCs w:val="24"/>
          <w:u w:val="single"/>
        </w:rPr>
        <w:t>ění:</w:t>
      </w:r>
    </w:p>
    <w:p w:rsidR="001F2C51" w:rsidRPr="00C87097" w:rsidRDefault="001F2C51" w:rsidP="001C6B0A">
      <w:pPr>
        <w:pStyle w:val="Odstavecseseznamem"/>
        <w:tabs>
          <w:tab w:val="left" w:pos="709"/>
        </w:tabs>
        <w:spacing w:after="120" w:line="240" w:lineRule="auto"/>
        <w:ind w:left="780"/>
        <w:jc w:val="both"/>
        <w:rPr>
          <w:iCs/>
          <w:sz w:val="24"/>
          <w:szCs w:val="24"/>
        </w:rPr>
      </w:pPr>
      <w:r w:rsidRPr="00C87097">
        <w:rPr>
          <w:iCs/>
          <w:sz w:val="24"/>
          <w:szCs w:val="24"/>
        </w:rPr>
        <w:t>Přestože jde o doslovně převzatou definici ze Směrnice, není dostatečně srozumitelná, ale především se tento pojem nikde jinde v předložené novele zákona nevyskytuje</w:t>
      </w:r>
      <w:r w:rsidR="00822C71" w:rsidRPr="00C87097">
        <w:rPr>
          <w:iCs/>
          <w:sz w:val="24"/>
          <w:szCs w:val="24"/>
        </w:rPr>
        <w:t>.</w:t>
      </w:r>
    </w:p>
    <w:p w:rsidR="00D338C1" w:rsidRPr="00C87097" w:rsidRDefault="00D338C1" w:rsidP="00536A7B">
      <w:pPr>
        <w:pStyle w:val="Bezmezer"/>
        <w:numPr>
          <w:ilvl w:val="0"/>
          <w:numId w:val="7"/>
        </w:numPr>
        <w:spacing w:before="120"/>
        <w:ind w:left="777" w:hanging="357"/>
        <w:rPr>
          <w:sz w:val="24"/>
          <w:szCs w:val="24"/>
        </w:rPr>
      </w:pPr>
      <w:r w:rsidRPr="00C87097">
        <w:rPr>
          <w:b/>
          <w:sz w:val="24"/>
          <w:szCs w:val="24"/>
        </w:rPr>
        <w:t xml:space="preserve">§ 2 </w:t>
      </w:r>
      <w:r w:rsidR="00536A7B">
        <w:rPr>
          <w:b/>
          <w:sz w:val="24"/>
          <w:szCs w:val="24"/>
        </w:rPr>
        <w:t xml:space="preserve">odst. 1 </w:t>
      </w:r>
      <w:r w:rsidRPr="00C87097">
        <w:rPr>
          <w:b/>
          <w:sz w:val="24"/>
          <w:szCs w:val="24"/>
        </w:rPr>
        <w:t>písm. k)</w:t>
      </w:r>
      <w:r w:rsidRPr="00C87097">
        <w:rPr>
          <w:sz w:val="24"/>
          <w:szCs w:val="24"/>
        </w:rPr>
        <w:t xml:space="preserve"> do stávajícího textu doplnit zvýrazněné slovo:</w:t>
      </w:r>
    </w:p>
    <w:p w:rsidR="00D338C1" w:rsidRPr="00C87097" w:rsidRDefault="00D338C1" w:rsidP="00536A7B">
      <w:pPr>
        <w:pStyle w:val="Bezmezer"/>
        <w:ind w:left="780"/>
        <w:jc w:val="both"/>
        <w:rPr>
          <w:i/>
          <w:sz w:val="24"/>
          <w:szCs w:val="24"/>
        </w:rPr>
      </w:pPr>
      <w:r w:rsidRPr="00C87097">
        <w:rPr>
          <w:i/>
          <w:sz w:val="24"/>
          <w:szCs w:val="24"/>
        </w:rPr>
        <w:lastRenderedPageBreak/>
        <w:t xml:space="preserve">k) jmenovitým výkonem nejvyšší tepelný výkon </w:t>
      </w:r>
      <w:r w:rsidRPr="00C87097">
        <w:rPr>
          <w:b/>
          <w:i/>
          <w:sz w:val="24"/>
          <w:szCs w:val="24"/>
        </w:rPr>
        <w:t>zdroje</w:t>
      </w:r>
      <w:r w:rsidRPr="00C87097">
        <w:rPr>
          <w:i/>
          <w:sz w:val="24"/>
          <w:szCs w:val="24"/>
        </w:rPr>
        <w:t>, vyjádřený v kW, uvedený výrobcem, kterého lze dosáhnout při trvalém provozu a při účinnosti uvedené výrobcem</w:t>
      </w:r>
      <w:r w:rsidR="00536A7B">
        <w:rPr>
          <w:i/>
          <w:sz w:val="24"/>
          <w:szCs w:val="24"/>
        </w:rPr>
        <w:t>.</w:t>
      </w:r>
    </w:p>
    <w:p w:rsidR="00D338C1" w:rsidRPr="00536A7B" w:rsidRDefault="00D338C1" w:rsidP="00536A7B">
      <w:pPr>
        <w:pStyle w:val="Bezmezer"/>
        <w:spacing w:before="60"/>
        <w:ind w:left="709"/>
        <w:rPr>
          <w:iCs/>
          <w:sz w:val="24"/>
          <w:szCs w:val="24"/>
          <w:u w:val="single"/>
        </w:rPr>
      </w:pPr>
      <w:r w:rsidRPr="00536A7B">
        <w:rPr>
          <w:iCs/>
          <w:sz w:val="24"/>
          <w:szCs w:val="24"/>
          <w:u w:val="single"/>
        </w:rPr>
        <w:t>Zdůvod</w:t>
      </w:r>
      <w:r w:rsidR="00536A7B">
        <w:rPr>
          <w:iCs/>
          <w:sz w:val="24"/>
          <w:szCs w:val="24"/>
          <w:u w:val="single"/>
        </w:rPr>
        <w:t>n</w:t>
      </w:r>
      <w:r w:rsidRPr="00536A7B">
        <w:rPr>
          <w:iCs/>
          <w:sz w:val="24"/>
          <w:szCs w:val="24"/>
          <w:u w:val="single"/>
        </w:rPr>
        <w:t>ění:</w:t>
      </w:r>
    </w:p>
    <w:p w:rsidR="00D338C1" w:rsidRPr="00C87097" w:rsidRDefault="00D338C1" w:rsidP="00536A7B">
      <w:pPr>
        <w:pStyle w:val="Bezmezer"/>
        <w:ind w:left="780"/>
        <w:jc w:val="both"/>
        <w:rPr>
          <w:sz w:val="24"/>
          <w:szCs w:val="24"/>
        </w:rPr>
      </w:pPr>
      <w:r w:rsidRPr="00C87097">
        <w:rPr>
          <w:sz w:val="24"/>
          <w:szCs w:val="24"/>
        </w:rPr>
        <w:t xml:space="preserve">Ze stávajícího </w:t>
      </w:r>
      <w:r w:rsidR="00E46A27">
        <w:rPr>
          <w:sz w:val="24"/>
          <w:szCs w:val="24"/>
        </w:rPr>
        <w:t>textu není zřejmé, o jaký tepel</w:t>
      </w:r>
      <w:r w:rsidRPr="00C87097">
        <w:rPr>
          <w:sz w:val="24"/>
          <w:szCs w:val="24"/>
        </w:rPr>
        <w:t>ný výkon se jedná, resp</w:t>
      </w:r>
      <w:r w:rsidR="00536A7B">
        <w:rPr>
          <w:sz w:val="24"/>
          <w:szCs w:val="24"/>
        </w:rPr>
        <w:t>.</w:t>
      </w:r>
      <w:r w:rsidRPr="00C87097">
        <w:rPr>
          <w:sz w:val="24"/>
          <w:szCs w:val="24"/>
        </w:rPr>
        <w:t xml:space="preserve"> jakého zařízení.</w:t>
      </w:r>
    </w:p>
    <w:p w:rsidR="00D338C1" w:rsidRPr="00C87097" w:rsidRDefault="00D338C1" w:rsidP="00536A7B">
      <w:pPr>
        <w:pStyle w:val="Bezmezer"/>
        <w:numPr>
          <w:ilvl w:val="0"/>
          <w:numId w:val="7"/>
        </w:numPr>
        <w:spacing w:before="120"/>
        <w:ind w:left="777" w:hanging="357"/>
        <w:rPr>
          <w:b/>
          <w:sz w:val="24"/>
          <w:szCs w:val="24"/>
        </w:rPr>
      </w:pPr>
      <w:r w:rsidRPr="00C87097">
        <w:rPr>
          <w:b/>
          <w:sz w:val="24"/>
          <w:szCs w:val="24"/>
        </w:rPr>
        <w:t xml:space="preserve">§ 2 </w:t>
      </w:r>
      <w:proofErr w:type="spellStart"/>
      <w:r w:rsidR="00536A7B">
        <w:rPr>
          <w:b/>
          <w:sz w:val="24"/>
          <w:szCs w:val="24"/>
        </w:rPr>
        <w:t>odst</w:t>
      </w:r>
      <w:proofErr w:type="spellEnd"/>
      <w:r w:rsidR="00536A7B">
        <w:rPr>
          <w:b/>
          <w:sz w:val="24"/>
          <w:szCs w:val="24"/>
        </w:rPr>
        <w:t xml:space="preserve"> 1 </w:t>
      </w:r>
      <w:r w:rsidRPr="00C87097">
        <w:rPr>
          <w:b/>
          <w:sz w:val="24"/>
          <w:szCs w:val="24"/>
        </w:rPr>
        <w:t xml:space="preserve">písm. n) </w:t>
      </w:r>
      <w:r w:rsidRPr="00C87097">
        <w:rPr>
          <w:sz w:val="24"/>
          <w:szCs w:val="24"/>
        </w:rPr>
        <w:t>stávající definici energetického auditu nahradit definicí ze Směrnice</w:t>
      </w:r>
    </w:p>
    <w:p w:rsidR="00D338C1" w:rsidRPr="00C87097" w:rsidRDefault="00D338C1" w:rsidP="00536A7B">
      <w:pPr>
        <w:pStyle w:val="Bezmezer"/>
        <w:ind w:left="780"/>
        <w:jc w:val="both"/>
        <w:rPr>
          <w:b/>
          <w:i/>
          <w:sz w:val="24"/>
          <w:szCs w:val="24"/>
        </w:rPr>
      </w:pPr>
      <w:r w:rsidRPr="00C87097">
        <w:rPr>
          <w:b/>
          <w:i/>
          <w:sz w:val="24"/>
          <w:szCs w:val="24"/>
        </w:rPr>
        <w:t>n) energetickým auditem systematický postup za účelem získání dostatečných znalostí o stávajícím profilu energetické spotřeby určité budovy či skupiny budov, průmyslového nebo obchodního provozu nebo zařízení a soukromé nebo veřejné služby, který identifikuje a kvantifikuje možnosti nákladově efektivních úspor energie a podává zprávy o zjištěních;</w:t>
      </w:r>
    </w:p>
    <w:p w:rsidR="00D338C1" w:rsidRPr="00536A7B" w:rsidRDefault="00D338C1" w:rsidP="00536A7B">
      <w:pPr>
        <w:pStyle w:val="Bezmezer"/>
        <w:spacing w:before="60"/>
        <w:ind w:left="709"/>
        <w:rPr>
          <w:iCs/>
          <w:sz w:val="24"/>
          <w:szCs w:val="24"/>
          <w:u w:val="single"/>
        </w:rPr>
      </w:pPr>
      <w:r w:rsidRPr="00536A7B">
        <w:rPr>
          <w:iCs/>
          <w:sz w:val="24"/>
          <w:szCs w:val="24"/>
          <w:u w:val="single"/>
        </w:rPr>
        <w:t>Zdůvod</w:t>
      </w:r>
      <w:r w:rsidR="00536A7B">
        <w:rPr>
          <w:iCs/>
          <w:sz w:val="24"/>
          <w:szCs w:val="24"/>
          <w:u w:val="single"/>
        </w:rPr>
        <w:t>n</w:t>
      </w:r>
      <w:r w:rsidRPr="00536A7B">
        <w:rPr>
          <w:iCs/>
          <w:sz w:val="24"/>
          <w:szCs w:val="24"/>
          <w:u w:val="single"/>
        </w:rPr>
        <w:t>ění:</w:t>
      </w:r>
    </w:p>
    <w:p w:rsidR="00D338C1" w:rsidRPr="00C87097" w:rsidRDefault="00D338C1" w:rsidP="00536A7B">
      <w:pPr>
        <w:pStyle w:val="Bezmezer"/>
        <w:ind w:left="780"/>
        <w:jc w:val="both"/>
        <w:rPr>
          <w:sz w:val="24"/>
          <w:szCs w:val="24"/>
        </w:rPr>
      </w:pPr>
      <w:r w:rsidRPr="00C87097">
        <w:rPr>
          <w:sz w:val="24"/>
          <w:szCs w:val="24"/>
        </w:rPr>
        <w:t>Definice energetického auditu uvedená ve Směrnici je přesnější, protože energetickým auditem není písemná zpráva (to je pouze výsledek), ale je to systematický postup za účelem získání dostatečných znalostí.</w:t>
      </w:r>
    </w:p>
    <w:p w:rsidR="00D338C1" w:rsidRPr="00C87097" w:rsidRDefault="00D338C1" w:rsidP="00536A7B">
      <w:pPr>
        <w:pStyle w:val="Odstavecseseznamem"/>
        <w:numPr>
          <w:ilvl w:val="0"/>
          <w:numId w:val="7"/>
        </w:numPr>
        <w:tabs>
          <w:tab w:val="left" w:pos="709"/>
        </w:tabs>
        <w:spacing w:before="120" w:after="0" w:line="240" w:lineRule="auto"/>
        <w:ind w:left="777" w:hanging="357"/>
        <w:jc w:val="both"/>
        <w:rPr>
          <w:iCs/>
          <w:sz w:val="24"/>
          <w:szCs w:val="24"/>
        </w:rPr>
      </w:pPr>
      <w:r w:rsidRPr="00C87097">
        <w:rPr>
          <w:b/>
          <w:iCs/>
          <w:sz w:val="24"/>
          <w:szCs w:val="24"/>
        </w:rPr>
        <w:t>§ 2 odst. 1 písm. z)</w:t>
      </w:r>
      <w:r w:rsidR="00C352E3">
        <w:rPr>
          <w:iCs/>
          <w:sz w:val="24"/>
          <w:szCs w:val="24"/>
        </w:rPr>
        <w:t xml:space="preserve"> stávající text doplnit </w:t>
      </w:r>
      <w:r w:rsidRPr="00C87097">
        <w:rPr>
          <w:iCs/>
          <w:sz w:val="24"/>
          <w:szCs w:val="24"/>
        </w:rPr>
        <w:t>o zvýrazněná slova:</w:t>
      </w:r>
    </w:p>
    <w:p w:rsidR="00D338C1" w:rsidRPr="00C87097" w:rsidRDefault="00D338C1" w:rsidP="00D338C1">
      <w:pPr>
        <w:pStyle w:val="Odstavecseseznamem"/>
        <w:tabs>
          <w:tab w:val="left" w:pos="709"/>
        </w:tabs>
        <w:spacing w:after="120" w:line="240" w:lineRule="auto"/>
        <w:ind w:left="780"/>
        <w:jc w:val="both"/>
        <w:rPr>
          <w:iCs/>
          <w:sz w:val="24"/>
          <w:szCs w:val="24"/>
        </w:rPr>
      </w:pPr>
      <w:r w:rsidRPr="00C87097">
        <w:rPr>
          <w:i/>
          <w:sz w:val="24"/>
          <w:szCs w:val="24"/>
        </w:rPr>
        <w:t>z) zvýšením účinnosti užití energie nárůst účinnosti užití energie v důsledku technologických či ekonomických změn</w:t>
      </w:r>
      <w:r w:rsidRPr="00C87097">
        <w:rPr>
          <w:iCs/>
          <w:sz w:val="24"/>
          <w:szCs w:val="24"/>
        </w:rPr>
        <w:t xml:space="preserve"> </w:t>
      </w:r>
      <w:r w:rsidRPr="00C87097">
        <w:rPr>
          <w:b/>
          <w:i/>
          <w:iCs/>
          <w:sz w:val="24"/>
          <w:szCs w:val="24"/>
        </w:rPr>
        <w:t>nebo v důsledku změn v lidském chování</w:t>
      </w:r>
      <w:r w:rsidR="00536A7B">
        <w:rPr>
          <w:b/>
          <w:i/>
          <w:iCs/>
          <w:sz w:val="24"/>
          <w:szCs w:val="24"/>
        </w:rPr>
        <w:t>.</w:t>
      </w:r>
    </w:p>
    <w:p w:rsidR="00D338C1" w:rsidRPr="00536A7B" w:rsidRDefault="00D338C1" w:rsidP="00536A7B">
      <w:pPr>
        <w:pStyle w:val="Bezmezer"/>
        <w:spacing w:before="60"/>
        <w:ind w:left="709"/>
        <w:rPr>
          <w:iCs/>
          <w:sz w:val="24"/>
          <w:szCs w:val="24"/>
          <w:u w:val="single"/>
        </w:rPr>
      </w:pPr>
      <w:r w:rsidRPr="00536A7B">
        <w:rPr>
          <w:iCs/>
          <w:sz w:val="24"/>
          <w:szCs w:val="24"/>
          <w:u w:val="single"/>
        </w:rPr>
        <w:t>Zdůvod</w:t>
      </w:r>
      <w:r w:rsidR="00536A7B">
        <w:rPr>
          <w:iCs/>
          <w:sz w:val="24"/>
          <w:szCs w:val="24"/>
          <w:u w:val="single"/>
        </w:rPr>
        <w:t>n</w:t>
      </w:r>
      <w:r w:rsidRPr="00536A7B">
        <w:rPr>
          <w:iCs/>
          <w:sz w:val="24"/>
          <w:szCs w:val="24"/>
          <w:u w:val="single"/>
        </w:rPr>
        <w:t>ění:</w:t>
      </w:r>
    </w:p>
    <w:p w:rsidR="00536A7B" w:rsidRDefault="00D338C1" w:rsidP="00536A7B">
      <w:pPr>
        <w:pStyle w:val="Odstavecseseznamem"/>
        <w:tabs>
          <w:tab w:val="left" w:pos="709"/>
        </w:tabs>
        <w:spacing w:after="0" w:line="240" w:lineRule="auto"/>
        <w:ind w:left="782"/>
        <w:jc w:val="both"/>
        <w:rPr>
          <w:iCs/>
          <w:sz w:val="24"/>
          <w:szCs w:val="24"/>
        </w:rPr>
      </w:pPr>
      <w:r w:rsidRPr="00C87097">
        <w:rPr>
          <w:iCs/>
          <w:sz w:val="24"/>
          <w:szCs w:val="24"/>
        </w:rPr>
        <w:t>V předloženém návrhu se zužuje pojem „zvýšení účinnosti užití energie“ pouze na nárůst účinnosti užití energie v důsledku technol</w:t>
      </w:r>
      <w:r w:rsidR="00536A7B">
        <w:rPr>
          <w:iCs/>
          <w:sz w:val="24"/>
          <w:szCs w:val="24"/>
        </w:rPr>
        <w:t>ogických či ekonomických změn a </w:t>
      </w:r>
      <w:r w:rsidRPr="00C87097">
        <w:rPr>
          <w:iCs/>
          <w:sz w:val="24"/>
          <w:szCs w:val="24"/>
        </w:rPr>
        <w:t xml:space="preserve">nerespektuje přitom širší definici dle Směrnice (čl. 2 odst. 6), která pod tento pojem řadí i zvýšení v důsledku změn v lidském chování, k němuž může docházet zejména </w:t>
      </w:r>
      <w:r w:rsidR="00536A7B">
        <w:rPr>
          <w:iCs/>
          <w:sz w:val="24"/>
          <w:szCs w:val="24"/>
        </w:rPr>
        <w:t xml:space="preserve">ve vazbě na </w:t>
      </w:r>
      <w:r w:rsidR="00536A7B" w:rsidRPr="00C87097">
        <w:rPr>
          <w:iCs/>
          <w:sz w:val="24"/>
          <w:szCs w:val="24"/>
        </w:rPr>
        <w:t>různ</w:t>
      </w:r>
      <w:r w:rsidR="00536A7B">
        <w:rPr>
          <w:iCs/>
          <w:sz w:val="24"/>
          <w:szCs w:val="24"/>
        </w:rPr>
        <w:t>á</w:t>
      </w:r>
      <w:r w:rsidR="00536A7B" w:rsidRPr="00C87097">
        <w:rPr>
          <w:iCs/>
          <w:sz w:val="24"/>
          <w:szCs w:val="24"/>
        </w:rPr>
        <w:t xml:space="preserve"> poradens</w:t>
      </w:r>
      <w:r w:rsidR="00536A7B">
        <w:rPr>
          <w:iCs/>
          <w:sz w:val="24"/>
          <w:szCs w:val="24"/>
        </w:rPr>
        <w:t xml:space="preserve">tví </w:t>
      </w:r>
      <w:r w:rsidR="00536A7B" w:rsidRPr="00C87097">
        <w:rPr>
          <w:iCs/>
          <w:sz w:val="24"/>
          <w:szCs w:val="24"/>
        </w:rPr>
        <w:t>či osvětov</w:t>
      </w:r>
      <w:r w:rsidR="00536A7B">
        <w:rPr>
          <w:iCs/>
          <w:sz w:val="24"/>
          <w:szCs w:val="24"/>
        </w:rPr>
        <w:t>á</w:t>
      </w:r>
      <w:r w:rsidR="00536A7B" w:rsidRPr="00C87097">
        <w:rPr>
          <w:iCs/>
          <w:sz w:val="24"/>
          <w:szCs w:val="24"/>
        </w:rPr>
        <w:t xml:space="preserve"> „opatření“ bez nutnosti technologických či ekonomických změn</w:t>
      </w:r>
      <w:r w:rsidR="00536A7B">
        <w:rPr>
          <w:iCs/>
          <w:sz w:val="24"/>
          <w:szCs w:val="24"/>
        </w:rPr>
        <w:t>.</w:t>
      </w:r>
    </w:p>
    <w:p w:rsidR="007759A6" w:rsidRPr="00C87097" w:rsidRDefault="007759A6" w:rsidP="00536A7B">
      <w:pPr>
        <w:pStyle w:val="Bezmezer"/>
        <w:numPr>
          <w:ilvl w:val="0"/>
          <w:numId w:val="7"/>
        </w:numPr>
        <w:spacing w:before="120"/>
        <w:ind w:left="777" w:hanging="357"/>
        <w:rPr>
          <w:sz w:val="24"/>
          <w:szCs w:val="24"/>
        </w:rPr>
      </w:pPr>
      <w:r w:rsidRPr="00C87097">
        <w:rPr>
          <w:b/>
          <w:sz w:val="24"/>
          <w:szCs w:val="24"/>
        </w:rPr>
        <w:t xml:space="preserve">§ 2 písm. </w:t>
      </w:r>
      <w:proofErr w:type="spellStart"/>
      <w:r w:rsidRPr="00C87097">
        <w:rPr>
          <w:b/>
          <w:sz w:val="24"/>
          <w:szCs w:val="24"/>
        </w:rPr>
        <w:t>aa</w:t>
      </w:r>
      <w:proofErr w:type="spellEnd"/>
      <w:r w:rsidRPr="00C87097">
        <w:rPr>
          <w:b/>
          <w:sz w:val="24"/>
          <w:szCs w:val="24"/>
        </w:rPr>
        <w:t xml:space="preserve">) </w:t>
      </w:r>
      <w:r w:rsidRPr="00C87097">
        <w:rPr>
          <w:sz w:val="24"/>
          <w:szCs w:val="24"/>
        </w:rPr>
        <w:t>navrhovanou definici upravit podle následujícího návrhu:</w:t>
      </w:r>
    </w:p>
    <w:p w:rsidR="007759A6" w:rsidRPr="00C87097" w:rsidRDefault="00C352E3" w:rsidP="007759A6">
      <w:pPr>
        <w:pStyle w:val="Odstavecseseznamem"/>
        <w:tabs>
          <w:tab w:val="left" w:pos="709"/>
        </w:tabs>
        <w:spacing w:after="120" w:line="240" w:lineRule="auto"/>
        <w:ind w:left="780"/>
        <w:jc w:val="both"/>
        <w:rPr>
          <w:iCs/>
          <w:sz w:val="24"/>
          <w:szCs w:val="24"/>
        </w:rPr>
      </w:pPr>
      <w:r>
        <w:rPr>
          <w:i/>
          <w:sz w:val="24"/>
          <w:szCs w:val="24"/>
        </w:rPr>
        <w:t>aa</w:t>
      </w:r>
      <w:bookmarkStart w:id="0" w:name="_GoBack"/>
      <w:bookmarkEnd w:id="0"/>
      <w:r w:rsidR="007759A6" w:rsidRPr="00C87097">
        <w:rPr>
          <w:i/>
          <w:sz w:val="24"/>
          <w:szCs w:val="24"/>
        </w:rPr>
        <w:t xml:space="preserve">) energetickou službou činnosti, </w:t>
      </w:r>
      <w:r w:rsidR="007759A6" w:rsidRPr="00C87097">
        <w:rPr>
          <w:i/>
          <w:strike/>
          <w:sz w:val="24"/>
          <w:szCs w:val="24"/>
        </w:rPr>
        <w:t>které</w:t>
      </w:r>
      <w:r w:rsidR="007759A6" w:rsidRPr="00C87097">
        <w:rPr>
          <w:i/>
          <w:sz w:val="24"/>
          <w:szCs w:val="24"/>
        </w:rPr>
        <w:t xml:space="preserve"> </w:t>
      </w:r>
      <w:r w:rsidR="007759A6" w:rsidRPr="00C87097">
        <w:rPr>
          <w:b/>
          <w:i/>
          <w:sz w:val="24"/>
          <w:szCs w:val="24"/>
        </w:rPr>
        <w:t>u nichž bylo prokázáno, že za normálních okolností</w:t>
      </w:r>
      <w:r w:rsidR="007759A6" w:rsidRPr="00C87097">
        <w:rPr>
          <w:i/>
          <w:sz w:val="24"/>
          <w:szCs w:val="24"/>
        </w:rPr>
        <w:t xml:space="preserve"> vedou k </w:t>
      </w:r>
      <w:r w:rsidR="007759A6" w:rsidRPr="00C87097">
        <w:rPr>
          <w:b/>
          <w:i/>
          <w:sz w:val="24"/>
          <w:szCs w:val="24"/>
        </w:rPr>
        <w:t>ověřitelnému, měřitelnému nebo odhadnutelnému</w:t>
      </w:r>
      <w:r w:rsidR="007759A6" w:rsidRPr="00C87097">
        <w:rPr>
          <w:i/>
          <w:sz w:val="24"/>
          <w:szCs w:val="24"/>
        </w:rPr>
        <w:t xml:space="preserve">  zvýšení účinnosti užití </w:t>
      </w:r>
      <w:proofErr w:type="gramStart"/>
      <w:r w:rsidR="007759A6" w:rsidRPr="00C87097">
        <w:rPr>
          <w:i/>
          <w:sz w:val="24"/>
          <w:szCs w:val="24"/>
        </w:rPr>
        <w:t xml:space="preserve">energie </w:t>
      </w:r>
      <w:r w:rsidR="007759A6" w:rsidRPr="00C87097">
        <w:rPr>
          <w:i/>
          <w:strike/>
          <w:sz w:val="24"/>
          <w:szCs w:val="24"/>
        </w:rPr>
        <w:t xml:space="preserve">a  </w:t>
      </w:r>
      <w:r w:rsidR="007759A6" w:rsidRPr="00C87097">
        <w:rPr>
          <w:b/>
          <w:i/>
          <w:sz w:val="24"/>
          <w:szCs w:val="24"/>
        </w:rPr>
        <w:t>nebo</w:t>
      </w:r>
      <w:r w:rsidR="007759A6" w:rsidRPr="00C87097">
        <w:rPr>
          <w:i/>
          <w:sz w:val="24"/>
          <w:szCs w:val="24"/>
        </w:rPr>
        <w:t xml:space="preserve"> k úsporám</w:t>
      </w:r>
      <w:proofErr w:type="gramEnd"/>
      <w:r w:rsidR="007759A6" w:rsidRPr="00C87097">
        <w:rPr>
          <w:i/>
          <w:sz w:val="24"/>
          <w:szCs w:val="24"/>
        </w:rPr>
        <w:t xml:space="preserve"> primární energie</w:t>
      </w:r>
      <w:r w:rsidR="00536A7B">
        <w:rPr>
          <w:i/>
          <w:sz w:val="24"/>
          <w:szCs w:val="24"/>
        </w:rPr>
        <w:t>.</w:t>
      </w:r>
      <w:r w:rsidR="00BF2C72">
        <w:rPr>
          <w:i/>
          <w:sz w:val="24"/>
          <w:szCs w:val="24"/>
        </w:rPr>
        <w:t xml:space="preserve"> </w:t>
      </w:r>
      <w:r w:rsidR="00BF2C72" w:rsidRPr="00BF2C72">
        <w:rPr>
          <w:b/>
          <w:i/>
          <w:sz w:val="24"/>
          <w:szCs w:val="24"/>
        </w:rPr>
        <w:t>Energetickou službou je také energetické poradenství, které obsahu</w:t>
      </w:r>
      <w:r w:rsidR="00BF2C72">
        <w:rPr>
          <w:b/>
          <w:i/>
          <w:sz w:val="24"/>
          <w:szCs w:val="24"/>
        </w:rPr>
        <w:t>je posouzení potenciálu úspor a </w:t>
      </w:r>
      <w:r w:rsidR="00BF2C72" w:rsidRPr="00BF2C72">
        <w:rPr>
          <w:b/>
          <w:i/>
          <w:sz w:val="24"/>
          <w:szCs w:val="24"/>
        </w:rPr>
        <w:t>doporučení ke zvýšení energetické účinnosti. Energetické poradenství není energetickým auditem dle § 9.</w:t>
      </w:r>
    </w:p>
    <w:p w:rsidR="007759A6" w:rsidRPr="00536A7B" w:rsidRDefault="007759A6" w:rsidP="00536A7B">
      <w:pPr>
        <w:pStyle w:val="Bezmezer"/>
        <w:spacing w:before="60"/>
        <w:ind w:left="709"/>
        <w:rPr>
          <w:iCs/>
          <w:sz w:val="24"/>
          <w:szCs w:val="24"/>
          <w:u w:val="single"/>
        </w:rPr>
      </w:pPr>
      <w:r w:rsidRPr="00536A7B">
        <w:rPr>
          <w:iCs/>
          <w:sz w:val="24"/>
          <w:szCs w:val="24"/>
          <w:u w:val="single"/>
        </w:rPr>
        <w:t>Zdůvod</w:t>
      </w:r>
      <w:r w:rsidR="00536A7B">
        <w:rPr>
          <w:iCs/>
          <w:sz w:val="24"/>
          <w:szCs w:val="24"/>
          <w:u w:val="single"/>
        </w:rPr>
        <w:t>n</w:t>
      </w:r>
      <w:r w:rsidRPr="00536A7B">
        <w:rPr>
          <w:iCs/>
          <w:sz w:val="24"/>
          <w:szCs w:val="24"/>
          <w:u w:val="single"/>
        </w:rPr>
        <w:t>ění:</w:t>
      </w:r>
    </w:p>
    <w:p w:rsidR="00BF2C72" w:rsidRPr="00C87097" w:rsidRDefault="007759A6" w:rsidP="00536A7B">
      <w:pPr>
        <w:pStyle w:val="Odstavecseseznamem"/>
        <w:tabs>
          <w:tab w:val="left" w:pos="709"/>
        </w:tabs>
        <w:spacing w:line="240" w:lineRule="auto"/>
        <w:ind w:left="782"/>
        <w:jc w:val="both"/>
        <w:rPr>
          <w:iCs/>
          <w:sz w:val="24"/>
          <w:szCs w:val="24"/>
        </w:rPr>
      </w:pPr>
      <w:r w:rsidRPr="00C87097">
        <w:rPr>
          <w:sz w:val="24"/>
          <w:szCs w:val="24"/>
        </w:rPr>
        <w:t xml:space="preserve">Doporučujeme navrhovanou definici energetické služby o převzetí části textu z definice uvedené ve Směrnici tak aby byla jednoznačná a přesnější. Předložený návrh </w:t>
      </w:r>
      <w:r w:rsidR="009B5E95" w:rsidRPr="00C87097">
        <w:rPr>
          <w:iCs/>
          <w:sz w:val="24"/>
          <w:szCs w:val="24"/>
        </w:rPr>
        <w:t>Zákon</w:t>
      </w:r>
      <w:r w:rsidRPr="00C87097">
        <w:rPr>
          <w:iCs/>
          <w:sz w:val="24"/>
          <w:szCs w:val="24"/>
        </w:rPr>
        <w:t>a</w:t>
      </w:r>
      <w:r w:rsidR="009B5E95" w:rsidRPr="00C87097">
        <w:rPr>
          <w:iCs/>
          <w:sz w:val="24"/>
          <w:szCs w:val="24"/>
        </w:rPr>
        <w:t xml:space="preserve"> </w:t>
      </w:r>
      <w:r w:rsidR="00362EAA" w:rsidRPr="00C87097">
        <w:rPr>
          <w:iCs/>
          <w:sz w:val="24"/>
          <w:szCs w:val="24"/>
        </w:rPr>
        <w:t>za e</w:t>
      </w:r>
      <w:r w:rsidR="009B5E95" w:rsidRPr="00C87097">
        <w:rPr>
          <w:iCs/>
          <w:sz w:val="24"/>
          <w:szCs w:val="24"/>
        </w:rPr>
        <w:t xml:space="preserve">nergetickou službu </w:t>
      </w:r>
      <w:r w:rsidR="00362EAA" w:rsidRPr="00C87097">
        <w:rPr>
          <w:iCs/>
          <w:sz w:val="24"/>
          <w:szCs w:val="24"/>
        </w:rPr>
        <w:t xml:space="preserve">považuje pouze činnosti, které (kumulativně) vedou ke zvýšení účinnosti užití energie </w:t>
      </w:r>
      <w:r w:rsidR="00362EAA" w:rsidRPr="00C87097">
        <w:rPr>
          <w:b/>
          <w:iCs/>
          <w:sz w:val="24"/>
          <w:szCs w:val="24"/>
          <w:u w:val="single"/>
        </w:rPr>
        <w:t>a</w:t>
      </w:r>
      <w:r w:rsidR="00362EAA" w:rsidRPr="00C87097">
        <w:rPr>
          <w:iCs/>
          <w:sz w:val="24"/>
          <w:szCs w:val="24"/>
        </w:rPr>
        <w:t xml:space="preserve"> k úsporám primární energie</w:t>
      </w:r>
      <w:r w:rsidR="00442ECB" w:rsidRPr="00C87097">
        <w:rPr>
          <w:iCs/>
          <w:sz w:val="24"/>
          <w:szCs w:val="24"/>
        </w:rPr>
        <w:t>. Naproti tomu Směrnice za energetickou službu považuje např. i činnost, jejímž důsledkem dochází ke zvýšení účinnosti užití energie, nikoliv však již nutně k úsporám primární energie.</w:t>
      </w:r>
      <w:r w:rsidR="00BF2C72">
        <w:rPr>
          <w:iCs/>
          <w:sz w:val="24"/>
          <w:szCs w:val="24"/>
        </w:rPr>
        <w:t xml:space="preserve"> </w:t>
      </w:r>
      <w:r w:rsidR="00BF2C72" w:rsidRPr="00BF2C72">
        <w:rPr>
          <w:iCs/>
          <w:sz w:val="24"/>
          <w:szCs w:val="24"/>
        </w:rPr>
        <w:t>Doporučujeme rozšířit tuto definici také o poradenské služby, které obsahují návrhy možných opatření ke zvýšení energetické účinnosti. Poradenství v tomto smyslu není energetickým auditem a nemusí splňovat zákonné požadavky dle § 9 Zákona. Tato služba na trhu existuje a věnuje se kromě prvotní analýzy také průběžnému monitoringu již zavedených úsporných opatření. Svým přínosem spadá pod cíl energetické služby a bez jejího začlenění do definice by nebylo spektrum nabízených energetických služeb kompletní.</w:t>
      </w:r>
    </w:p>
    <w:p w:rsidR="007759A6" w:rsidRPr="00C87097" w:rsidRDefault="007759A6" w:rsidP="007759A6">
      <w:pPr>
        <w:pStyle w:val="Bezmezer"/>
        <w:rPr>
          <w:sz w:val="24"/>
          <w:szCs w:val="24"/>
        </w:rPr>
      </w:pPr>
      <w:r w:rsidRPr="00C87097">
        <w:rPr>
          <w:b/>
          <w:sz w:val="24"/>
          <w:szCs w:val="24"/>
        </w:rPr>
        <w:lastRenderedPageBreak/>
        <w:t>§</w:t>
      </w:r>
      <w:r w:rsidR="00536A7B">
        <w:rPr>
          <w:b/>
          <w:sz w:val="24"/>
          <w:szCs w:val="24"/>
        </w:rPr>
        <w:t xml:space="preserve"> </w:t>
      </w:r>
      <w:r w:rsidRPr="00C87097">
        <w:rPr>
          <w:b/>
          <w:sz w:val="24"/>
          <w:szCs w:val="24"/>
        </w:rPr>
        <w:t>3</w:t>
      </w:r>
    </w:p>
    <w:p w:rsidR="007759A6" w:rsidRPr="00C87097" w:rsidRDefault="007759A6" w:rsidP="00536A7B">
      <w:pPr>
        <w:pStyle w:val="Bezmezer"/>
        <w:jc w:val="both"/>
        <w:rPr>
          <w:sz w:val="24"/>
          <w:szCs w:val="24"/>
        </w:rPr>
      </w:pPr>
      <w:r w:rsidRPr="00C87097">
        <w:rPr>
          <w:sz w:val="24"/>
          <w:szCs w:val="24"/>
        </w:rPr>
        <w:t>Z formulace tohoto paragrafu není jasné, jaký konkrétní dopad na zde vyjmenované osoby bude státní energetická koncepce (dále jen „SEK“) mít a jak se SEK budou tyto osoby řídit. Nejsou zde uvedeny žádné nástroje, jakými bude chtít ministerstvo</w:t>
      </w:r>
      <w:r w:rsidR="00536A7B">
        <w:rPr>
          <w:sz w:val="24"/>
          <w:szCs w:val="24"/>
        </w:rPr>
        <w:t xml:space="preserve">, </w:t>
      </w:r>
      <w:r w:rsidRPr="00C87097">
        <w:rPr>
          <w:sz w:val="24"/>
          <w:szCs w:val="24"/>
        </w:rPr>
        <w:t>resp</w:t>
      </w:r>
      <w:r w:rsidR="00536A7B">
        <w:rPr>
          <w:sz w:val="24"/>
          <w:szCs w:val="24"/>
        </w:rPr>
        <w:t>.</w:t>
      </w:r>
      <w:r w:rsidRPr="00C87097">
        <w:rPr>
          <w:sz w:val="24"/>
          <w:szCs w:val="24"/>
        </w:rPr>
        <w:t xml:space="preserve"> vláda  prosazovat SEK do praxe.</w:t>
      </w:r>
    </w:p>
    <w:p w:rsidR="007759A6" w:rsidRPr="00C87097" w:rsidRDefault="007759A6" w:rsidP="00536A7B">
      <w:pPr>
        <w:pStyle w:val="Bezmezer"/>
        <w:spacing w:before="60"/>
        <w:rPr>
          <w:sz w:val="24"/>
          <w:szCs w:val="24"/>
          <w:u w:val="single"/>
        </w:rPr>
      </w:pPr>
      <w:r w:rsidRPr="00C87097">
        <w:rPr>
          <w:sz w:val="24"/>
          <w:szCs w:val="24"/>
          <w:u w:val="single"/>
        </w:rPr>
        <w:t>Návrh</w:t>
      </w:r>
      <w:r w:rsidR="00536A7B">
        <w:rPr>
          <w:sz w:val="24"/>
          <w:szCs w:val="24"/>
          <w:u w:val="single"/>
        </w:rPr>
        <w:t xml:space="preserve"> úpravy</w:t>
      </w:r>
      <w:r w:rsidRPr="00C87097">
        <w:rPr>
          <w:sz w:val="24"/>
          <w:szCs w:val="24"/>
          <w:u w:val="single"/>
        </w:rPr>
        <w:t>:</w:t>
      </w:r>
    </w:p>
    <w:p w:rsidR="007759A6" w:rsidRPr="00C87097" w:rsidRDefault="007759A6" w:rsidP="007759A6">
      <w:pPr>
        <w:pStyle w:val="Bezmezer"/>
        <w:rPr>
          <w:sz w:val="24"/>
          <w:szCs w:val="24"/>
        </w:rPr>
      </w:pPr>
      <w:r w:rsidRPr="00C87097">
        <w:rPr>
          <w:b/>
          <w:sz w:val="24"/>
          <w:szCs w:val="24"/>
        </w:rPr>
        <w:t>§3 nový odstavec 2</w:t>
      </w:r>
      <w:r w:rsidRPr="00C87097">
        <w:rPr>
          <w:sz w:val="24"/>
          <w:szCs w:val="24"/>
        </w:rPr>
        <w:t xml:space="preserve"> zařadit za stávající první odstavec a ostatní přečíslovat</w:t>
      </w:r>
    </w:p>
    <w:p w:rsidR="007759A6" w:rsidRPr="00C87097" w:rsidRDefault="007759A6" w:rsidP="007759A6">
      <w:pPr>
        <w:spacing w:after="0" w:line="240" w:lineRule="auto"/>
        <w:jc w:val="both"/>
        <w:rPr>
          <w:b/>
          <w:i/>
          <w:sz w:val="24"/>
          <w:szCs w:val="24"/>
        </w:rPr>
      </w:pPr>
      <w:r w:rsidRPr="00C87097">
        <w:rPr>
          <w:b/>
          <w:i/>
          <w:sz w:val="24"/>
          <w:szCs w:val="24"/>
        </w:rPr>
        <w:t>2) Návrh státní energetické koncepce ministerstvo konzu</w:t>
      </w:r>
      <w:r w:rsidR="00536A7B">
        <w:rPr>
          <w:b/>
          <w:i/>
          <w:sz w:val="24"/>
          <w:szCs w:val="24"/>
        </w:rPr>
        <w:t>ltuje s orgány veřejné správy a </w:t>
      </w:r>
      <w:r w:rsidRPr="00C87097">
        <w:rPr>
          <w:b/>
          <w:i/>
          <w:sz w:val="24"/>
          <w:szCs w:val="24"/>
        </w:rPr>
        <w:t xml:space="preserve">držiteli licence na podnikání v energetických odvětvích. </w:t>
      </w:r>
    </w:p>
    <w:p w:rsidR="007759A6" w:rsidRPr="00C87097" w:rsidRDefault="007759A6" w:rsidP="00536A7B">
      <w:pPr>
        <w:pStyle w:val="Bezmezer"/>
        <w:keepNext/>
        <w:spacing w:before="60"/>
        <w:rPr>
          <w:sz w:val="24"/>
          <w:szCs w:val="24"/>
          <w:u w:val="single"/>
        </w:rPr>
      </w:pPr>
      <w:r w:rsidRPr="00C87097">
        <w:rPr>
          <w:sz w:val="24"/>
          <w:szCs w:val="24"/>
          <w:u w:val="single"/>
        </w:rPr>
        <w:t>Zdůvod</w:t>
      </w:r>
      <w:r w:rsidR="00536A7B">
        <w:rPr>
          <w:sz w:val="24"/>
          <w:szCs w:val="24"/>
          <w:u w:val="single"/>
        </w:rPr>
        <w:t>n</w:t>
      </w:r>
      <w:r w:rsidRPr="00C87097">
        <w:rPr>
          <w:sz w:val="24"/>
          <w:szCs w:val="24"/>
          <w:u w:val="single"/>
        </w:rPr>
        <w:t>ění:</w:t>
      </w:r>
    </w:p>
    <w:p w:rsidR="007759A6" w:rsidRPr="00C87097" w:rsidRDefault="007759A6" w:rsidP="007759A6">
      <w:pPr>
        <w:spacing w:line="240" w:lineRule="auto"/>
        <w:jc w:val="both"/>
        <w:rPr>
          <w:sz w:val="24"/>
          <w:szCs w:val="24"/>
        </w:rPr>
      </w:pPr>
      <w:r w:rsidRPr="00C87097">
        <w:rPr>
          <w:sz w:val="24"/>
          <w:szCs w:val="24"/>
        </w:rPr>
        <w:t xml:space="preserve">Aby </w:t>
      </w:r>
      <w:r w:rsidR="00536A7B">
        <w:rPr>
          <w:sz w:val="24"/>
          <w:szCs w:val="24"/>
        </w:rPr>
        <w:t xml:space="preserve">SEK </w:t>
      </w:r>
      <w:r w:rsidRPr="00C87097">
        <w:rPr>
          <w:sz w:val="24"/>
          <w:szCs w:val="24"/>
        </w:rPr>
        <w:t>byla smysluplná a důvěryhodná</w:t>
      </w:r>
      <w:r w:rsidR="00536A7B">
        <w:rPr>
          <w:sz w:val="24"/>
          <w:szCs w:val="24"/>
        </w:rPr>
        <w:t>,</w:t>
      </w:r>
      <w:r w:rsidRPr="00C87097">
        <w:rPr>
          <w:sz w:val="24"/>
          <w:szCs w:val="24"/>
        </w:rPr>
        <w:t xml:space="preserve"> tak je nezbytná konzultace zejména s držiteli licence na podnikání v energetických odvětvích, a to </w:t>
      </w:r>
      <w:r w:rsidR="00BF2C72">
        <w:rPr>
          <w:sz w:val="24"/>
          <w:szCs w:val="24"/>
        </w:rPr>
        <w:t xml:space="preserve">s </w:t>
      </w:r>
      <w:r w:rsidRPr="00C87097">
        <w:rPr>
          <w:sz w:val="24"/>
          <w:szCs w:val="24"/>
        </w:rPr>
        <w:t>těmi největšími hráči nebo sdruženími, které tyto držitele licence zastupují.</w:t>
      </w:r>
    </w:p>
    <w:p w:rsidR="007759A6" w:rsidRPr="00C87097" w:rsidRDefault="007759A6" w:rsidP="007759A6">
      <w:pPr>
        <w:pStyle w:val="Bezmezer"/>
        <w:rPr>
          <w:sz w:val="24"/>
          <w:szCs w:val="24"/>
        </w:rPr>
      </w:pPr>
      <w:r w:rsidRPr="00C87097">
        <w:rPr>
          <w:b/>
          <w:sz w:val="24"/>
          <w:szCs w:val="24"/>
        </w:rPr>
        <w:t>§</w:t>
      </w:r>
      <w:r w:rsidR="00536A7B">
        <w:rPr>
          <w:b/>
          <w:sz w:val="24"/>
          <w:szCs w:val="24"/>
        </w:rPr>
        <w:t xml:space="preserve"> </w:t>
      </w:r>
      <w:r w:rsidRPr="00C87097">
        <w:rPr>
          <w:b/>
          <w:sz w:val="24"/>
          <w:szCs w:val="24"/>
        </w:rPr>
        <w:t>4</w:t>
      </w:r>
    </w:p>
    <w:p w:rsidR="007759A6" w:rsidRPr="00C87097" w:rsidRDefault="007759A6" w:rsidP="00536A7B">
      <w:pPr>
        <w:pStyle w:val="Bezmezer"/>
        <w:jc w:val="both"/>
        <w:rPr>
          <w:sz w:val="24"/>
          <w:szCs w:val="24"/>
        </w:rPr>
      </w:pPr>
      <w:r w:rsidRPr="00C87097">
        <w:rPr>
          <w:sz w:val="24"/>
          <w:szCs w:val="24"/>
        </w:rPr>
        <w:t xml:space="preserve">Z ustanovení uvedených pod tímto paragrafem není zřejmé, jakým způsobem bude zajištěno, že </w:t>
      </w:r>
      <w:r w:rsidR="00FF078C" w:rsidRPr="00C87097">
        <w:rPr>
          <w:sz w:val="24"/>
          <w:szCs w:val="24"/>
        </w:rPr>
        <w:t>územní energetická koncepce (dále jen „</w:t>
      </w:r>
      <w:r w:rsidRPr="00C87097">
        <w:rPr>
          <w:sz w:val="24"/>
          <w:szCs w:val="24"/>
        </w:rPr>
        <w:t>ÚEK</w:t>
      </w:r>
      <w:r w:rsidR="00FF078C" w:rsidRPr="00C87097">
        <w:rPr>
          <w:sz w:val="24"/>
          <w:szCs w:val="24"/>
        </w:rPr>
        <w:t>“)</w:t>
      </w:r>
      <w:r w:rsidRPr="00C87097">
        <w:rPr>
          <w:sz w:val="24"/>
          <w:szCs w:val="24"/>
        </w:rPr>
        <w:t xml:space="preserve"> bude „vycházet ze SEK“, když jsou značně odlišné regionální podmínky a jak bude</w:t>
      </w:r>
      <w:r w:rsidR="00536A7B">
        <w:rPr>
          <w:sz w:val="24"/>
          <w:szCs w:val="24"/>
        </w:rPr>
        <w:t xml:space="preserve"> „</w:t>
      </w:r>
      <w:r w:rsidRPr="00C87097">
        <w:rPr>
          <w:sz w:val="24"/>
          <w:szCs w:val="24"/>
        </w:rPr>
        <w:t>rozvíjet cíle státní energetické koncepce a určovat strategii pro jejich naplňování“. Je vůbec otázkou zda taková UEK má smysl, když prostředky k jejímu faktickém</w:t>
      </w:r>
      <w:r w:rsidR="00FF078C" w:rsidRPr="00C87097">
        <w:rPr>
          <w:sz w:val="24"/>
          <w:szCs w:val="24"/>
        </w:rPr>
        <w:t xml:space="preserve">u prosazení jsou velice omezené, přičemž </w:t>
      </w:r>
      <w:r w:rsidRPr="00C87097">
        <w:rPr>
          <w:sz w:val="24"/>
          <w:szCs w:val="24"/>
        </w:rPr>
        <w:t>jak právnické tak i fyzické osoby se v daném území budou z hlediska pokrytí svých energetických potřeb chovat především tržně, dle svých možností a vlastního uvážení.</w:t>
      </w:r>
    </w:p>
    <w:p w:rsidR="00FF078C" w:rsidRPr="00C87097" w:rsidRDefault="00FF078C" w:rsidP="00536A7B">
      <w:pPr>
        <w:pStyle w:val="Bezmezer"/>
        <w:spacing w:before="60"/>
        <w:rPr>
          <w:sz w:val="24"/>
          <w:szCs w:val="24"/>
          <w:u w:val="single"/>
        </w:rPr>
      </w:pPr>
      <w:r w:rsidRPr="00C87097">
        <w:rPr>
          <w:sz w:val="24"/>
          <w:szCs w:val="24"/>
          <w:u w:val="single"/>
        </w:rPr>
        <w:t>Návrh</w:t>
      </w:r>
      <w:r w:rsidR="00536A7B">
        <w:rPr>
          <w:sz w:val="24"/>
          <w:szCs w:val="24"/>
          <w:u w:val="single"/>
        </w:rPr>
        <w:t xml:space="preserve"> úpravy</w:t>
      </w:r>
      <w:r w:rsidRPr="00C87097">
        <w:rPr>
          <w:sz w:val="24"/>
          <w:szCs w:val="24"/>
          <w:u w:val="single"/>
        </w:rPr>
        <w:t>:</w:t>
      </w:r>
    </w:p>
    <w:p w:rsidR="007759A6" w:rsidRPr="00C87097" w:rsidRDefault="00536A7B" w:rsidP="007759A6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§ 4 nový odstavec</w:t>
      </w:r>
    </w:p>
    <w:p w:rsidR="007759A6" w:rsidRPr="00C87097" w:rsidRDefault="007759A6" w:rsidP="00536A7B">
      <w:pPr>
        <w:pStyle w:val="Bezmezer"/>
        <w:jc w:val="both"/>
        <w:rPr>
          <w:b/>
          <w:i/>
          <w:sz w:val="24"/>
          <w:szCs w:val="24"/>
        </w:rPr>
      </w:pPr>
      <w:r w:rsidRPr="00C87097">
        <w:rPr>
          <w:b/>
          <w:i/>
          <w:sz w:val="24"/>
          <w:szCs w:val="24"/>
        </w:rPr>
        <w:t xml:space="preserve">Návrh </w:t>
      </w:r>
      <w:r w:rsidRPr="00C87097">
        <w:rPr>
          <w:rFonts w:eastAsia="Calibri"/>
          <w:b/>
          <w:i/>
          <w:sz w:val="24"/>
          <w:szCs w:val="24"/>
        </w:rPr>
        <w:t>územní energetické koncepce je jeho zpracovatel povinen konzultovat s držiteli licence na přenos a distribuci elektrické energie, na přepravu a dist</w:t>
      </w:r>
      <w:r w:rsidR="00C352E3">
        <w:rPr>
          <w:rFonts w:eastAsia="Calibri"/>
          <w:b/>
          <w:i/>
          <w:sz w:val="24"/>
          <w:szCs w:val="24"/>
        </w:rPr>
        <w:t xml:space="preserve">ribuci plynu a na rozvod </w:t>
      </w:r>
      <w:r w:rsidRPr="00C87097">
        <w:rPr>
          <w:rFonts w:eastAsia="Calibri"/>
          <w:b/>
          <w:i/>
          <w:sz w:val="24"/>
          <w:szCs w:val="24"/>
        </w:rPr>
        <w:t>tepelné energie</w:t>
      </w:r>
      <w:r w:rsidRPr="00C87097">
        <w:rPr>
          <w:rStyle w:val="Znakapoznpodarou"/>
          <w:rFonts w:eastAsia="Calibri"/>
          <w:b/>
          <w:i/>
          <w:sz w:val="24"/>
          <w:szCs w:val="24"/>
        </w:rPr>
        <w:footnoteReference w:id="2"/>
      </w:r>
      <w:r w:rsidRPr="00C87097">
        <w:rPr>
          <w:rFonts w:eastAsia="Calibri"/>
          <w:b/>
          <w:i/>
          <w:sz w:val="24"/>
          <w:szCs w:val="24"/>
        </w:rPr>
        <w:t xml:space="preserve">, </w:t>
      </w:r>
      <w:r w:rsidRPr="00C87097">
        <w:rPr>
          <w:b/>
          <w:i/>
          <w:sz w:val="24"/>
          <w:szCs w:val="24"/>
        </w:rPr>
        <w:t>kteří podnikají na území, pro které se územní energetická koncepce zpracovává a se stanovisky těchto držitelů licencí ho předložit ministerstvu.</w:t>
      </w:r>
    </w:p>
    <w:p w:rsidR="007759A6" w:rsidRPr="00C87097" w:rsidRDefault="007759A6" w:rsidP="00536A7B">
      <w:pPr>
        <w:pStyle w:val="Bezmezer"/>
        <w:spacing w:before="60"/>
        <w:rPr>
          <w:sz w:val="24"/>
          <w:szCs w:val="24"/>
          <w:u w:val="single"/>
        </w:rPr>
      </w:pPr>
      <w:r w:rsidRPr="00C87097">
        <w:rPr>
          <w:sz w:val="24"/>
          <w:szCs w:val="24"/>
          <w:u w:val="single"/>
        </w:rPr>
        <w:t>Zdůvod</w:t>
      </w:r>
      <w:r w:rsidR="00536A7B">
        <w:rPr>
          <w:sz w:val="24"/>
          <w:szCs w:val="24"/>
          <w:u w:val="single"/>
        </w:rPr>
        <w:t>n</w:t>
      </w:r>
      <w:r w:rsidRPr="00C87097">
        <w:rPr>
          <w:sz w:val="24"/>
          <w:szCs w:val="24"/>
          <w:u w:val="single"/>
        </w:rPr>
        <w:t>ění:</w:t>
      </w:r>
    </w:p>
    <w:p w:rsidR="007759A6" w:rsidRPr="00C87097" w:rsidRDefault="007759A6" w:rsidP="007759A6">
      <w:pPr>
        <w:spacing w:line="240" w:lineRule="auto"/>
        <w:jc w:val="both"/>
        <w:rPr>
          <w:sz w:val="24"/>
          <w:szCs w:val="24"/>
        </w:rPr>
      </w:pPr>
      <w:r w:rsidRPr="00C87097">
        <w:rPr>
          <w:sz w:val="24"/>
          <w:szCs w:val="24"/>
        </w:rPr>
        <w:t xml:space="preserve">Nový odstavec do § 4 navrhujeme proto, že jsme přesvědčeni o tom, že se UEK nedá zodpovědně a efektivně zpracovat bez konzultace zejména s držiteli licence na </w:t>
      </w:r>
      <w:r w:rsidR="00536A7B">
        <w:rPr>
          <w:rFonts w:eastAsia="Calibri"/>
          <w:sz w:val="24"/>
          <w:szCs w:val="24"/>
        </w:rPr>
        <w:t>přenos a </w:t>
      </w:r>
      <w:r w:rsidRPr="00C87097">
        <w:rPr>
          <w:rFonts w:eastAsia="Calibri"/>
          <w:sz w:val="24"/>
          <w:szCs w:val="24"/>
        </w:rPr>
        <w:t>distribuci elektrické energie, na přepravu a dis</w:t>
      </w:r>
      <w:r w:rsidR="00C352E3">
        <w:rPr>
          <w:rFonts w:eastAsia="Calibri"/>
          <w:sz w:val="24"/>
          <w:szCs w:val="24"/>
        </w:rPr>
        <w:t>tribuci plynu a na rozvod</w:t>
      </w:r>
      <w:r w:rsidRPr="00C87097">
        <w:rPr>
          <w:rFonts w:eastAsia="Calibri"/>
          <w:sz w:val="24"/>
          <w:szCs w:val="24"/>
        </w:rPr>
        <w:t xml:space="preserve"> tepelné energie, </w:t>
      </w:r>
      <w:r w:rsidRPr="00C87097">
        <w:rPr>
          <w:sz w:val="24"/>
          <w:szCs w:val="24"/>
        </w:rPr>
        <w:t>kteří podnikají na dotčeném území.</w:t>
      </w:r>
    </w:p>
    <w:p w:rsidR="00FF078C" w:rsidRPr="00C87097" w:rsidRDefault="00FF078C" w:rsidP="00FF078C">
      <w:pPr>
        <w:pStyle w:val="Bezmezer"/>
        <w:rPr>
          <w:sz w:val="24"/>
          <w:szCs w:val="24"/>
        </w:rPr>
      </w:pPr>
      <w:r w:rsidRPr="00C87097">
        <w:rPr>
          <w:b/>
          <w:sz w:val="24"/>
          <w:szCs w:val="24"/>
        </w:rPr>
        <w:t xml:space="preserve">§ </w:t>
      </w:r>
      <w:proofErr w:type="spellStart"/>
      <w:r w:rsidRPr="00C87097">
        <w:rPr>
          <w:b/>
          <w:sz w:val="24"/>
          <w:szCs w:val="24"/>
        </w:rPr>
        <w:t>6a</w:t>
      </w:r>
      <w:proofErr w:type="spellEnd"/>
    </w:p>
    <w:p w:rsidR="00FF078C" w:rsidRPr="00C87097" w:rsidRDefault="00FF078C" w:rsidP="00536A7B">
      <w:pPr>
        <w:pStyle w:val="Bezmezer"/>
        <w:spacing w:after="200"/>
        <w:jc w:val="both"/>
        <w:rPr>
          <w:sz w:val="24"/>
          <w:szCs w:val="24"/>
        </w:rPr>
      </w:pPr>
      <w:r w:rsidRPr="00C87097">
        <w:rPr>
          <w:sz w:val="24"/>
          <w:szCs w:val="24"/>
        </w:rPr>
        <w:t>Problematika kontroly kotlů (případně dalších zařízení na výrobu tepla) se vyskytuje v několika dalš</w:t>
      </w:r>
      <w:r w:rsidR="00BF2C72">
        <w:rPr>
          <w:sz w:val="24"/>
          <w:szCs w:val="24"/>
        </w:rPr>
        <w:t>ích právních předpisech (např. z</w:t>
      </w:r>
      <w:r w:rsidRPr="00C87097">
        <w:rPr>
          <w:sz w:val="24"/>
          <w:szCs w:val="24"/>
        </w:rPr>
        <w:t>ákon o ochraně ovzduší) a to do značné míry velmi nejednotně. Doporučujeme tyto kontroly sjednotit (nejlépe do jednoho předpisu) tak</w:t>
      </w:r>
      <w:r w:rsidR="00BF2C72">
        <w:rPr>
          <w:sz w:val="24"/>
          <w:szCs w:val="24"/>
        </w:rPr>
        <w:t>,</w:t>
      </w:r>
      <w:r w:rsidRPr="00C87097">
        <w:rPr>
          <w:sz w:val="24"/>
          <w:szCs w:val="24"/>
        </w:rPr>
        <w:t xml:space="preserve"> aby při jedné kontrole byly kontrolovány všechny prvky a pokud možno ve stejných periodách.</w:t>
      </w:r>
    </w:p>
    <w:p w:rsidR="00FF078C" w:rsidRPr="00C87097" w:rsidRDefault="00943355" w:rsidP="00536A7B">
      <w:pPr>
        <w:tabs>
          <w:tab w:val="left" w:pos="709"/>
        </w:tabs>
        <w:spacing w:after="0" w:line="240" w:lineRule="auto"/>
        <w:ind w:left="567" w:hanging="567"/>
        <w:jc w:val="both"/>
        <w:rPr>
          <w:iCs/>
          <w:sz w:val="24"/>
          <w:szCs w:val="24"/>
        </w:rPr>
      </w:pPr>
      <w:r w:rsidRPr="00C87097">
        <w:rPr>
          <w:b/>
          <w:iCs/>
          <w:sz w:val="24"/>
          <w:szCs w:val="24"/>
        </w:rPr>
        <w:t>§ 7</w:t>
      </w:r>
    </w:p>
    <w:p w:rsidR="000F4381" w:rsidRPr="00C87097" w:rsidRDefault="00FB2F5F" w:rsidP="00536A7B">
      <w:pPr>
        <w:tabs>
          <w:tab w:val="left" w:pos="709"/>
        </w:tabs>
        <w:spacing w:line="240" w:lineRule="auto"/>
        <w:jc w:val="both"/>
        <w:rPr>
          <w:iCs/>
          <w:sz w:val="24"/>
          <w:szCs w:val="24"/>
        </w:rPr>
      </w:pPr>
      <w:r w:rsidRPr="00C87097">
        <w:rPr>
          <w:iCs/>
          <w:sz w:val="24"/>
          <w:szCs w:val="24"/>
        </w:rPr>
        <w:t>Z</w:t>
      </w:r>
      <w:r w:rsidR="00FF078C" w:rsidRPr="00C87097">
        <w:rPr>
          <w:iCs/>
          <w:sz w:val="24"/>
          <w:szCs w:val="24"/>
        </w:rPr>
        <w:t xml:space="preserve"> návrhu </w:t>
      </w:r>
      <w:r w:rsidRPr="00C87097">
        <w:rPr>
          <w:iCs/>
          <w:sz w:val="24"/>
          <w:szCs w:val="24"/>
        </w:rPr>
        <w:t>§ 7 odst. 4 písm. f) není jednoznačně zřejmé, jakým způsobem bude detailněji vymezena a následně pak prokazována podmínka/kritérium technické možnosti, finanční únosnosti či úměrnosti ve srovnání s potenciálními úspory energie pro povinnost vybavit konečné zákazníky individuálními měřiči. Předpokládáme, že detailnější úprava bude obsažena v prováděcím předpise, jeh</w:t>
      </w:r>
      <w:r w:rsidR="00536A7B">
        <w:rPr>
          <w:iCs/>
          <w:sz w:val="24"/>
          <w:szCs w:val="24"/>
        </w:rPr>
        <w:t>ož vydání předvídá § 7 odst. 9.</w:t>
      </w:r>
    </w:p>
    <w:p w:rsidR="00683824" w:rsidRPr="00C87097" w:rsidRDefault="00683824" w:rsidP="00536A7B">
      <w:pPr>
        <w:pStyle w:val="Bezmezer"/>
        <w:keepNext/>
        <w:rPr>
          <w:b/>
          <w:sz w:val="24"/>
          <w:szCs w:val="24"/>
          <w:u w:val="single"/>
        </w:rPr>
      </w:pPr>
      <w:r w:rsidRPr="00C87097">
        <w:rPr>
          <w:b/>
          <w:sz w:val="24"/>
          <w:szCs w:val="24"/>
          <w:u w:val="single"/>
        </w:rPr>
        <w:lastRenderedPageBreak/>
        <w:t xml:space="preserve">§ </w:t>
      </w:r>
      <w:proofErr w:type="spellStart"/>
      <w:r w:rsidRPr="00C87097">
        <w:rPr>
          <w:b/>
          <w:sz w:val="24"/>
          <w:szCs w:val="24"/>
          <w:u w:val="single"/>
        </w:rPr>
        <w:t>7a</w:t>
      </w:r>
      <w:proofErr w:type="spellEnd"/>
    </w:p>
    <w:p w:rsidR="00FF078C" w:rsidRPr="00C87097" w:rsidRDefault="00FF078C" w:rsidP="00536A7B">
      <w:pPr>
        <w:pStyle w:val="Bezmezer"/>
        <w:keepNext/>
        <w:rPr>
          <w:b/>
          <w:sz w:val="24"/>
          <w:szCs w:val="24"/>
        </w:rPr>
      </w:pPr>
      <w:r w:rsidRPr="00C87097">
        <w:rPr>
          <w:sz w:val="24"/>
          <w:szCs w:val="24"/>
          <w:u w:val="single"/>
        </w:rPr>
        <w:t>Návrh</w:t>
      </w:r>
      <w:r w:rsidR="00536A7B">
        <w:rPr>
          <w:sz w:val="24"/>
          <w:szCs w:val="24"/>
          <w:u w:val="single"/>
        </w:rPr>
        <w:t xml:space="preserve"> úpravy</w:t>
      </w:r>
      <w:r w:rsidRPr="00C87097">
        <w:rPr>
          <w:sz w:val="24"/>
          <w:szCs w:val="24"/>
          <w:u w:val="single"/>
        </w:rPr>
        <w:t>:</w:t>
      </w:r>
    </w:p>
    <w:p w:rsidR="00FF078C" w:rsidRPr="00C87097" w:rsidRDefault="00FF078C" w:rsidP="00FF078C">
      <w:pPr>
        <w:pStyle w:val="Bezmezer"/>
        <w:rPr>
          <w:b/>
          <w:sz w:val="24"/>
          <w:szCs w:val="24"/>
        </w:rPr>
      </w:pPr>
      <w:r w:rsidRPr="00C87097">
        <w:rPr>
          <w:b/>
          <w:sz w:val="24"/>
          <w:szCs w:val="24"/>
        </w:rPr>
        <w:t>§7</w:t>
      </w:r>
      <w:r w:rsidR="00683824" w:rsidRPr="00C87097">
        <w:rPr>
          <w:b/>
          <w:sz w:val="24"/>
          <w:szCs w:val="24"/>
        </w:rPr>
        <w:t>a</w:t>
      </w:r>
      <w:r w:rsidRPr="00C87097">
        <w:rPr>
          <w:b/>
          <w:sz w:val="24"/>
          <w:szCs w:val="24"/>
        </w:rPr>
        <w:t xml:space="preserve"> odst. 9</w:t>
      </w:r>
    </w:p>
    <w:p w:rsidR="00FF078C" w:rsidRPr="00C87097" w:rsidRDefault="00FF078C" w:rsidP="00536A7B">
      <w:pPr>
        <w:spacing w:after="0" w:line="240" w:lineRule="auto"/>
        <w:jc w:val="both"/>
        <w:rPr>
          <w:i/>
          <w:strike/>
          <w:sz w:val="24"/>
          <w:szCs w:val="24"/>
        </w:rPr>
      </w:pPr>
      <w:r w:rsidRPr="00C87097">
        <w:rPr>
          <w:i/>
          <w:sz w:val="24"/>
          <w:szCs w:val="24"/>
        </w:rPr>
        <w:t xml:space="preserve">(9) Průkaz se nezajišťuje při prodeji nebo pronájmu budovy nebo ucelené části budovy </w:t>
      </w:r>
      <w:r w:rsidRPr="00C87097">
        <w:rPr>
          <w:b/>
          <w:i/>
          <w:sz w:val="24"/>
          <w:szCs w:val="24"/>
        </w:rPr>
        <w:t>nebo jednotky</w:t>
      </w:r>
      <w:r w:rsidRPr="00C87097">
        <w:rPr>
          <w:i/>
          <w:sz w:val="24"/>
          <w:szCs w:val="24"/>
        </w:rPr>
        <w:t>, pokud se tak obě strany písemně dohodnou</w:t>
      </w:r>
      <w:r w:rsidRPr="00C87097">
        <w:rPr>
          <w:b/>
          <w:i/>
          <w:sz w:val="24"/>
          <w:szCs w:val="24"/>
        </w:rPr>
        <w:t xml:space="preserve">. </w:t>
      </w:r>
      <w:r w:rsidRPr="00F31C53">
        <w:rPr>
          <w:b/>
          <w:i/>
          <w:sz w:val="24"/>
          <w:szCs w:val="24"/>
        </w:rPr>
        <w:t xml:space="preserve">V takovém případě strana kupující nebo nájemce nese veškerá rizika související s energetickou náročností předmětu koupě nebo </w:t>
      </w:r>
      <w:proofErr w:type="gramStart"/>
      <w:r w:rsidRPr="00F31C53">
        <w:rPr>
          <w:b/>
          <w:i/>
          <w:sz w:val="24"/>
          <w:szCs w:val="24"/>
        </w:rPr>
        <w:t>pronájmu.</w:t>
      </w:r>
      <w:r w:rsidR="00F31C53">
        <w:rPr>
          <w:b/>
          <w:i/>
          <w:sz w:val="24"/>
          <w:szCs w:val="24"/>
        </w:rPr>
        <w:t xml:space="preserve"> </w:t>
      </w:r>
      <w:r w:rsidRPr="00C87097">
        <w:rPr>
          <w:i/>
          <w:strike/>
          <w:sz w:val="24"/>
          <w:szCs w:val="24"/>
        </w:rPr>
        <w:t>a jde</w:t>
      </w:r>
      <w:proofErr w:type="gramEnd"/>
      <w:r w:rsidRPr="00C87097">
        <w:rPr>
          <w:i/>
          <w:strike/>
          <w:sz w:val="24"/>
          <w:szCs w:val="24"/>
        </w:rPr>
        <w:t xml:space="preserve"> o budovu, která byla vystavěna a poslední větší změna dokončené budovy na ní byla provedena před 1. lednem 1947. Pokud se pro tuto budovu nebo ucelenou část budovy průkaz nezajišťuje, pak se v informačních a reklamních materiálech uvede místo ukazatelů energetické náročnosti nejhorší klasifikační třída podle prováděcího právního předpisu,</w:t>
      </w:r>
    </w:p>
    <w:p w:rsidR="00FF078C" w:rsidRPr="00C87097" w:rsidRDefault="00FF078C" w:rsidP="00536A7B">
      <w:pPr>
        <w:pStyle w:val="Bezmezer"/>
        <w:spacing w:before="60"/>
        <w:rPr>
          <w:sz w:val="24"/>
          <w:szCs w:val="24"/>
          <w:u w:val="single"/>
        </w:rPr>
      </w:pPr>
      <w:r w:rsidRPr="00C87097">
        <w:rPr>
          <w:sz w:val="24"/>
          <w:szCs w:val="24"/>
          <w:u w:val="single"/>
        </w:rPr>
        <w:t>Zdůvod</w:t>
      </w:r>
      <w:r w:rsidR="00536A7B">
        <w:rPr>
          <w:sz w:val="24"/>
          <w:szCs w:val="24"/>
          <w:u w:val="single"/>
        </w:rPr>
        <w:t>n</w:t>
      </w:r>
      <w:r w:rsidRPr="00C87097">
        <w:rPr>
          <w:sz w:val="24"/>
          <w:szCs w:val="24"/>
          <w:u w:val="single"/>
        </w:rPr>
        <w:t>ění:</w:t>
      </w:r>
    </w:p>
    <w:p w:rsidR="00FF078C" w:rsidRPr="00C87097" w:rsidRDefault="00FF078C" w:rsidP="00536A7B">
      <w:pPr>
        <w:tabs>
          <w:tab w:val="left" w:pos="709"/>
        </w:tabs>
        <w:spacing w:line="240" w:lineRule="auto"/>
        <w:jc w:val="both"/>
        <w:rPr>
          <w:iCs/>
          <w:sz w:val="24"/>
          <w:szCs w:val="24"/>
        </w:rPr>
      </w:pPr>
      <w:r w:rsidRPr="00F31C53">
        <w:rPr>
          <w:sz w:val="24"/>
          <w:szCs w:val="24"/>
        </w:rPr>
        <w:t>Nechápeme, proč byl zvolen termín před 1. lednem 1947 a nevidíme pro něj důvod. Podle našeho názoru nedává smysl ani logická souslednost – pokud se obě strany znají a domluví, pak nemá žádný význam zveřejňovat informační a reklamní materiály a na druhou stranu</w:t>
      </w:r>
      <w:r w:rsidR="00536A7B">
        <w:rPr>
          <w:sz w:val="24"/>
          <w:szCs w:val="24"/>
        </w:rPr>
        <w:t>,</w:t>
      </w:r>
      <w:r w:rsidRPr="00F31C53">
        <w:rPr>
          <w:sz w:val="24"/>
          <w:szCs w:val="24"/>
        </w:rPr>
        <w:t xml:space="preserve"> pokud se zveřejňují informační a reklamní materiály realit</w:t>
      </w:r>
      <w:r w:rsidR="00536A7B">
        <w:rPr>
          <w:sz w:val="24"/>
          <w:szCs w:val="24"/>
        </w:rPr>
        <w:t>ní kanceláří</w:t>
      </w:r>
      <w:r w:rsidRPr="00F31C53">
        <w:rPr>
          <w:sz w:val="24"/>
          <w:szCs w:val="24"/>
        </w:rPr>
        <w:t>, pak to předpokládá, že se průkaz zajišťuje</w:t>
      </w:r>
      <w:r w:rsidR="00C352E3">
        <w:rPr>
          <w:sz w:val="24"/>
          <w:szCs w:val="24"/>
        </w:rPr>
        <w:t>,</w:t>
      </w:r>
      <w:r w:rsidRPr="00F31C53">
        <w:rPr>
          <w:sz w:val="24"/>
          <w:szCs w:val="24"/>
        </w:rPr>
        <w:t xml:space="preserve"> neboť ještě není předem známo, že se strany později mohou písemně dohodnout, že průkaz není potřeba zajišťovat.</w:t>
      </w:r>
      <w:r w:rsidR="00C352E3">
        <w:rPr>
          <w:sz w:val="24"/>
          <w:szCs w:val="24"/>
        </w:rPr>
        <w:t xml:space="preserve"> To je </w:t>
      </w:r>
      <w:r w:rsidR="00683824" w:rsidRPr="00F31C53">
        <w:rPr>
          <w:sz w:val="24"/>
          <w:szCs w:val="24"/>
        </w:rPr>
        <w:t>liberálnější přístup k</w:t>
      </w:r>
      <w:r w:rsidR="00536A7B">
        <w:rPr>
          <w:sz w:val="24"/>
          <w:szCs w:val="24"/>
        </w:rPr>
        <w:t> </w:t>
      </w:r>
      <w:r w:rsidR="00683824" w:rsidRPr="00F31C53">
        <w:rPr>
          <w:sz w:val="24"/>
          <w:szCs w:val="24"/>
        </w:rPr>
        <w:t>volnosti smluvních vztahů mezi svéprávnými osobami, než aby stát zasahoval do něčeho, co mu vlastně nepřísluší a diktoval, že náklady s tím související (na průkaz) budou hradit osoby, které se mohou dohodnout, že průkaz nepotřebují</w:t>
      </w:r>
      <w:r w:rsidR="00C352E3">
        <w:rPr>
          <w:sz w:val="24"/>
          <w:szCs w:val="24"/>
        </w:rPr>
        <w:t>,</w:t>
      </w:r>
      <w:r w:rsidR="00683824" w:rsidRPr="00F31C53">
        <w:rPr>
          <w:sz w:val="24"/>
          <w:szCs w:val="24"/>
        </w:rPr>
        <w:t xml:space="preserve"> neboť stav energ</w:t>
      </w:r>
      <w:r w:rsidR="00984E40">
        <w:rPr>
          <w:sz w:val="24"/>
          <w:szCs w:val="24"/>
        </w:rPr>
        <w:t>etické náročnosti je jim znám a </w:t>
      </w:r>
      <w:r w:rsidR="00683824" w:rsidRPr="00F31C53">
        <w:rPr>
          <w:sz w:val="24"/>
          <w:szCs w:val="24"/>
        </w:rPr>
        <w:t>žádné náklady hradit nechtějí.</w:t>
      </w:r>
    </w:p>
    <w:p w:rsidR="00FF078C" w:rsidRPr="00C87097" w:rsidRDefault="008A479B" w:rsidP="00536A7B">
      <w:pPr>
        <w:tabs>
          <w:tab w:val="left" w:pos="709"/>
        </w:tabs>
        <w:spacing w:after="0" w:line="240" w:lineRule="auto"/>
        <w:ind w:left="567" w:hanging="567"/>
        <w:jc w:val="both"/>
        <w:rPr>
          <w:iCs/>
          <w:sz w:val="24"/>
          <w:szCs w:val="24"/>
        </w:rPr>
      </w:pPr>
      <w:r w:rsidRPr="00C87097">
        <w:rPr>
          <w:b/>
          <w:iCs/>
          <w:sz w:val="24"/>
          <w:szCs w:val="24"/>
        </w:rPr>
        <w:t xml:space="preserve">§ </w:t>
      </w:r>
      <w:proofErr w:type="spellStart"/>
      <w:r w:rsidRPr="00C87097">
        <w:rPr>
          <w:b/>
          <w:iCs/>
          <w:sz w:val="24"/>
          <w:szCs w:val="24"/>
        </w:rPr>
        <w:t>9a</w:t>
      </w:r>
      <w:proofErr w:type="spellEnd"/>
    </w:p>
    <w:p w:rsidR="008A479B" w:rsidRPr="00C87097" w:rsidRDefault="008A479B" w:rsidP="00536A7B">
      <w:pPr>
        <w:tabs>
          <w:tab w:val="left" w:pos="709"/>
        </w:tabs>
        <w:spacing w:line="240" w:lineRule="auto"/>
        <w:jc w:val="both"/>
        <w:rPr>
          <w:iCs/>
          <w:sz w:val="24"/>
          <w:szCs w:val="24"/>
        </w:rPr>
      </w:pPr>
      <w:r w:rsidRPr="00C87097">
        <w:rPr>
          <w:iCs/>
          <w:sz w:val="24"/>
          <w:szCs w:val="24"/>
        </w:rPr>
        <w:t xml:space="preserve">V § 9a odst. 1 písm. f) navrhujeme </w:t>
      </w:r>
      <w:r w:rsidR="00C33A47" w:rsidRPr="00C87097">
        <w:rPr>
          <w:iCs/>
          <w:sz w:val="24"/>
          <w:szCs w:val="24"/>
        </w:rPr>
        <w:t xml:space="preserve">využít </w:t>
      </w:r>
      <w:r w:rsidRPr="00C87097">
        <w:rPr>
          <w:iCs/>
          <w:sz w:val="24"/>
          <w:szCs w:val="24"/>
        </w:rPr>
        <w:t xml:space="preserve">nejen výjimku dle čl. 14 odst. 6 písm. b) Směrnice pro jaderné elektrárny, ale rovněž možnost vynětí zařízení uvedených v čl. 14 odst. 6 písm. a) Směrnice s ohledem na do budoucna narůstající význam těchto </w:t>
      </w:r>
      <w:r w:rsidR="00C33A47" w:rsidRPr="00C87097">
        <w:rPr>
          <w:iCs/>
          <w:sz w:val="24"/>
          <w:szCs w:val="24"/>
        </w:rPr>
        <w:t>„</w:t>
      </w:r>
      <w:r w:rsidR="00F5171E" w:rsidRPr="00C87097">
        <w:rPr>
          <w:iCs/>
          <w:sz w:val="24"/>
          <w:szCs w:val="24"/>
        </w:rPr>
        <w:t>záložních</w:t>
      </w:r>
      <w:r w:rsidR="00C33A47" w:rsidRPr="00C87097">
        <w:rPr>
          <w:iCs/>
          <w:sz w:val="24"/>
          <w:szCs w:val="24"/>
        </w:rPr>
        <w:t>“</w:t>
      </w:r>
      <w:r w:rsidR="00F5171E" w:rsidRPr="00C87097">
        <w:rPr>
          <w:iCs/>
          <w:sz w:val="24"/>
          <w:szCs w:val="24"/>
        </w:rPr>
        <w:t xml:space="preserve"> </w:t>
      </w:r>
      <w:r w:rsidRPr="00C87097">
        <w:rPr>
          <w:iCs/>
          <w:sz w:val="24"/>
          <w:szCs w:val="24"/>
        </w:rPr>
        <w:t>zařízení</w:t>
      </w:r>
      <w:r w:rsidR="00F5171E" w:rsidRPr="00C87097">
        <w:rPr>
          <w:iCs/>
          <w:sz w:val="24"/>
          <w:szCs w:val="24"/>
        </w:rPr>
        <w:t xml:space="preserve"> </w:t>
      </w:r>
      <w:r w:rsidR="00C33A47" w:rsidRPr="00C87097">
        <w:rPr>
          <w:iCs/>
          <w:sz w:val="24"/>
          <w:szCs w:val="24"/>
        </w:rPr>
        <w:t>(při splnění podmínek dle Směrnice)</w:t>
      </w:r>
      <w:r w:rsidR="00193718" w:rsidRPr="00C87097">
        <w:rPr>
          <w:iCs/>
          <w:sz w:val="24"/>
          <w:szCs w:val="24"/>
        </w:rPr>
        <w:t>, které</w:t>
      </w:r>
      <w:r w:rsidR="00C33A47" w:rsidRPr="00C87097">
        <w:rPr>
          <w:iCs/>
          <w:sz w:val="24"/>
          <w:szCs w:val="24"/>
        </w:rPr>
        <w:t xml:space="preserve"> </w:t>
      </w:r>
      <w:r w:rsidR="00016C1D" w:rsidRPr="00C87097">
        <w:rPr>
          <w:iCs/>
          <w:sz w:val="24"/>
          <w:szCs w:val="24"/>
        </w:rPr>
        <w:t>doplňují</w:t>
      </w:r>
      <w:r w:rsidR="00F5171E" w:rsidRPr="00C87097">
        <w:rPr>
          <w:iCs/>
          <w:sz w:val="24"/>
          <w:szCs w:val="24"/>
        </w:rPr>
        <w:t xml:space="preserve"> </w:t>
      </w:r>
      <w:r w:rsidR="00016C1D" w:rsidRPr="00C87097">
        <w:rPr>
          <w:iCs/>
          <w:sz w:val="24"/>
          <w:szCs w:val="24"/>
        </w:rPr>
        <w:t xml:space="preserve">méně stabilní </w:t>
      </w:r>
      <w:r w:rsidR="00F5171E" w:rsidRPr="00C87097">
        <w:rPr>
          <w:iCs/>
          <w:sz w:val="24"/>
          <w:szCs w:val="24"/>
        </w:rPr>
        <w:t>výrob</w:t>
      </w:r>
      <w:r w:rsidR="00016C1D" w:rsidRPr="00C87097">
        <w:rPr>
          <w:iCs/>
          <w:sz w:val="24"/>
          <w:szCs w:val="24"/>
        </w:rPr>
        <w:t>u</w:t>
      </w:r>
      <w:r w:rsidR="00F5171E" w:rsidRPr="00C87097">
        <w:rPr>
          <w:iCs/>
          <w:sz w:val="24"/>
          <w:szCs w:val="24"/>
        </w:rPr>
        <w:t xml:space="preserve"> elektřiny z</w:t>
      </w:r>
      <w:r w:rsidR="00E047E0" w:rsidRPr="00C87097">
        <w:rPr>
          <w:iCs/>
          <w:sz w:val="24"/>
          <w:szCs w:val="24"/>
        </w:rPr>
        <w:t> </w:t>
      </w:r>
      <w:r w:rsidR="00F5171E" w:rsidRPr="00C87097">
        <w:rPr>
          <w:iCs/>
          <w:sz w:val="24"/>
          <w:szCs w:val="24"/>
        </w:rPr>
        <w:t>OZE</w:t>
      </w:r>
      <w:r w:rsidR="00E047E0" w:rsidRPr="00C87097">
        <w:rPr>
          <w:iCs/>
          <w:sz w:val="24"/>
          <w:szCs w:val="24"/>
        </w:rPr>
        <w:t>, a to</w:t>
      </w:r>
      <w:r w:rsidR="00011BDA" w:rsidRPr="00C87097">
        <w:rPr>
          <w:iCs/>
          <w:sz w:val="24"/>
          <w:szCs w:val="24"/>
        </w:rPr>
        <w:t xml:space="preserve"> </w:t>
      </w:r>
      <w:r w:rsidR="007609A6" w:rsidRPr="00C87097">
        <w:rPr>
          <w:iCs/>
          <w:sz w:val="24"/>
          <w:szCs w:val="24"/>
        </w:rPr>
        <w:t xml:space="preserve">mimo jiné </w:t>
      </w:r>
      <w:r w:rsidR="00011BDA" w:rsidRPr="00C87097">
        <w:rPr>
          <w:iCs/>
          <w:sz w:val="24"/>
          <w:szCs w:val="24"/>
        </w:rPr>
        <w:t>i</w:t>
      </w:r>
      <w:r w:rsidR="00C33A47" w:rsidRPr="00C87097">
        <w:rPr>
          <w:iCs/>
          <w:sz w:val="24"/>
          <w:szCs w:val="24"/>
        </w:rPr>
        <w:t xml:space="preserve"> v souvislosti s</w:t>
      </w:r>
      <w:r w:rsidR="00E047E0" w:rsidRPr="00C87097">
        <w:rPr>
          <w:iCs/>
          <w:sz w:val="24"/>
          <w:szCs w:val="24"/>
        </w:rPr>
        <w:t xml:space="preserve"> proběhlou </w:t>
      </w:r>
      <w:r w:rsidR="00C33A47" w:rsidRPr="00C87097">
        <w:rPr>
          <w:iCs/>
          <w:sz w:val="24"/>
          <w:szCs w:val="24"/>
        </w:rPr>
        <w:t>diskuz</w:t>
      </w:r>
      <w:r w:rsidR="00E047E0" w:rsidRPr="00C87097">
        <w:rPr>
          <w:iCs/>
          <w:sz w:val="24"/>
          <w:szCs w:val="24"/>
        </w:rPr>
        <w:t>í na úrovni EU</w:t>
      </w:r>
      <w:r w:rsidR="00F5171E" w:rsidRPr="00C87097">
        <w:rPr>
          <w:iCs/>
          <w:sz w:val="24"/>
          <w:szCs w:val="24"/>
        </w:rPr>
        <w:t>.</w:t>
      </w:r>
    </w:p>
    <w:p w:rsidR="00683824" w:rsidRPr="00C87097" w:rsidRDefault="000F4381" w:rsidP="00536A7B">
      <w:pPr>
        <w:tabs>
          <w:tab w:val="left" w:pos="709"/>
        </w:tabs>
        <w:spacing w:after="0" w:line="240" w:lineRule="auto"/>
        <w:ind w:left="567" w:hanging="567"/>
        <w:jc w:val="both"/>
        <w:rPr>
          <w:b/>
          <w:iCs/>
          <w:sz w:val="24"/>
          <w:szCs w:val="24"/>
        </w:rPr>
      </w:pPr>
      <w:r w:rsidRPr="00C87097">
        <w:rPr>
          <w:b/>
          <w:iCs/>
          <w:sz w:val="24"/>
          <w:szCs w:val="24"/>
        </w:rPr>
        <w:t>§ 10e</w:t>
      </w:r>
      <w:r w:rsidRPr="00C87097">
        <w:rPr>
          <w:b/>
          <w:iCs/>
          <w:sz w:val="24"/>
          <w:szCs w:val="24"/>
        </w:rPr>
        <w:tab/>
      </w:r>
    </w:p>
    <w:p w:rsidR="000F4381" w:rsidRPr="00C87097" w:rsidRDefault="00BF2C72" w:rsidP="00536A7B">
      <w:pPr>
        <w:tabs>
          <w:tab w:val="left" w:pos="709"/>
        </w:tabs>
        <w:spacing w:line="240" w:lineRule="auto"/>
        <w:jc w:val="both"/>
        <w:rPr>
          <w:iCs/>
          <w:sz w:val="24"/>
          <w:szCs w:val="24"/>
        </w:rPr>
      </w:pPr>
      <w:r w:rsidRPr="00BF2C72">
        <w:rPr>
          <w:iCs/>
          <w:sz w:val="24"/>
          <w:szCs w:val="24"/>
        </w:rPr>
        <w:t>Nesouhlasíme s rozšiřující transpozicí Směrnice stanovující minimální prvky, které má obsahovat smlouva o energetických službách se zaručeným výsledkem a na které se dle § 18 odst. 1 písm. d) bodu i) a přílohy XIII Směrnice vztahuje povinnost pouze pro veřejný sektor. Důvodová zpráva nedostatečně nezdůvodňuje toto podstatné rozšíření výkladu Směrnice.</w:t>
      </w:r>
      <w:r>
        <w:rPr>
          <w:iCs/>
          <w:sz w:val="24"/>
          <w:szCs w:val="24"/>
        </w:rPr>
        <w:t xml:space="preserve"> Kromě toho se </w:t>
      </w:r>
      <w:r w:rsidR="003A2B73" w:rsidRPr="00C87097">
        <w:rPr>
          <w:iCs/>
          <w:sz w:val="24"/>
          <w:szCs w:val="24"/>
        </w:rPr>
        <w:t>domníváme, že t</w:t>
      </w:r>
      <w:r w:rsidR="000F4381" w:rsidRPr="00C87097">
        <w:rPr>
          <w:iCs/>
          <w:sz w:val="24"/>
          <w:szCs w:val="24"/>
        </w:rPr>
        <w:t>akto velmi široce definov</w:t>
      </w:r>
      <w:r w:rsidR="00536A7B">
        <w:rPr>
          <w:iCs/>
          <w:sz w:val="24"/>
          <w:szCs w:val="24"/>
        </w:rPr>
        <w:t>aný</w:t>
      </w:r>
      <w:r w:rsidR="000F4381" w:rsidRPr="00C87097">
        <w:rPr>
          <w:iCs/>
          <w:sz w:val="24"/>
          <w:szCs w:val="24"/>
        </w:rPr>
        <w:t xml:space="preserve"> obsah smlouvy (kde některé náležitosti jsou velmi zavádějící z hlediska jejich pochopení), vystaví každou smlouvu diskuzi o její platnosti (i když NOZ poněkud zmírňuje důsledky nenaplnění „zákonných“ náležitostí smluv). Doporučujeme vyjmenovat pouze </w:t>
      </w:r>
      <w:r w:rsidR="003A2B73" w:rsidRPr="00C87097">
        <w:rPr>
          <w:iCs/>
          <w:sz w:val="24"/>
          <w:szCs w:val="24"/>
        </w:rPr>
        <w:t xml:space="preserve">ty </w:t>
      </w:r>
      <w:r w:rsidR="000F4381" w:rsidRPr="00C87097">
        <w:rPr>
          <w:iCs/>
          <w:sz w:val="24"/>
          <w:szCs w:val="24"/>
        </w:rPr>
        <w:t xml:space="preserve">náležitosti, které mají smysl pro sledování příslušného cíle, který má být smlouvou zaručen a je významný pro </w:t>
      </w:r>
      <w:r w:rsidR="003A2B73" w:rsidRPr="00C87097">
        <w:rPr>
          <w:iCs/>
          <w:sz w:val="24"/>
          <w:szCs w:val="24"/>
        </w:rPr>
        <w:t xml:space="preserve">transpozici </w:t>
      </w:r>
      <w:r w:rsidR="000F4381" w:rsidRPr="00C87097">
        <w:rPr>
          <w:iCs/>
          <w:sz w:val="24"/>
          <w:szCs w:val="24"/>
        </w:rPr>
        <w:t>Směrnice (např. z hlediska sledování úspor).</w:t>
      </w:r>
      <w:r w:rsidR="003A2B73" w:rsidRPr="00C87097">
        <w:rPr>
          <w:iCs/>
          <w:sz w:val="24"/>
          <w:szCs w:val="24"/>
        </w:rPr>
        <w:t xml:space="preserve"> Popřípadě dáváme ke zvážení, zda by tyto náležitosti nemohly být alespoň vymezeny např. v příloze k Zákonu.</w:t>
      </w:r>
    </w:p>
    <w:p w:rsidR="00C87097" w:rsidRPr="00C87097" w:rsidRDefault="00C87097" w:rsidP="00536A7B">
      <w:pPr>
        <w:tabs>
          <w:tab w:val="left" w:pos="709"/>
        </w:tabs>
        <w:spacing w:after="0" w:line="240" w:lineRule="auto"/>
        <w:jc w:val="both"/>
        <w:rPr>
          <w:b/>
          <w:iCs/>
          <w:sz w:val="24"/>
          <w:szCs w:val="24"/>
        </w:rPr>
      </w:pPr>
      <w:r w:rsidRPr="00C87097">
        <w:rPr>
          <w:b/>
          <w:iCs/>
          <w:sz w:val="24"/>
          <w:szCs w:val="24"/>
        </w:rPr>
        <w:t>§10 f)</w:t>
      </w:r>
    </w:p>
    <w:p w:rsidR="00C87097" w:rsidRPr="00C87097" w:rsidRDefault="00C87097" w:rsidP="005D427C">
      <w:pPr>
        <w:spacing w:after="0" w:line="240" w:lineRule="auto"/>
        <w:jc w:val="both"/>
        <w:rPr>
          <w:sz w:val="24"/>
          <w:szCs w:val="24"/>
        </w:rPr>
      </w:pPr>
      <w:r w:rsidRPr="00C87097">
        <w:rPr>
          <w:iCs/>
          <w:sz w:val="24"/>
          <w:szCs w:val="24"/>
        </w:rPr>
        <w:t>N</w:t>
      </w:r>
      <w:r w:rsidR="00C352E3">
        <w:rPr>
          <w:iCs/>
          <w:sz w:val="24"/>
          <w:szCs w:val="24"/>
        </w:rPr>
        <w:t>e</w:t>
      </w:r>
      <w:r w:rsidRPr="00C87097">
        <w:rPr>
          <w:iCs/>
          <w:sz w:val="24"/>
          <w:szCs w:val="24"/>
        </w:rPr>
        <w:t>lze souhlasit s předloženým zněním odstavce 1</w:t>
      </w:r>
      <w:r w:rsidR="00536A7B">
        <w:rPr>
          <w:iCs/>
          <w:sz w:val="24"/>
          <w:szCs w:val="24"/>
        </w:rPr>
        <w:t>,</w:t>
      </w:r>
      <w:r w:rsidRPr="00C87097">
        <w:rPr>
          <w:iCs/>
          <w:sz w:val="24"/>
          <w:szCs w:val="24"/>
        </w:rPr>
        <w:t xml:space="preserve"> kde se uvádí, že „k</w:t>
      </w:r>
      <w:r w:rsidRPr="00C87097">
        <w:rPr>
          <w:sz w:val="24"/>
          <w:szCs w:val="24"/>
        </w:rPr>
        <w:t>valifikovaným poskytovatelem energetických služeb je fyzická nebo právnická osoba, která v předchozích pěti letech uzavřela minimálně 3 smlouvy o energetických službách“. To není žádná kvalifikace zejména s ohledem na to, co je požadováno z</w:t>
      </w:r>
      <w:r w:rsidR="00F31C53">
        <w:rPr>
          <w:sz w:val="24"/>
          <w:szCs w:val="24"/>
        </w:rPr>
        <w:t>a kvalifikaci a jaké musí absol</w:t>
      </w:r>
      <w:r w:rsidRPr="00C87097">
        <w:rPr>
          <w:sz w:val="24"/>
          <w:szCs w:val="24"/>
        </w:rPr>
        <w:t>vovat zkoušky energetický specialista.</w:t>
      </w:r>
    </w:p>
    <w:p w:rsidR="002D030F" w:rsidRDefault="002D030F" w:rsidP="005D427C">
      <w:pPr>
        <w:spacing w:after="0" w:line="240" w:lineRule="auto"/>
        <w:jc w:val="both"/>
        <w:rPr>
          <w:iCs/>
          <w:sz w:val="24"/>
          <w:szCs w:val="24"/>
        </w:rPr>
      </w:pPr>
    </w:p>
    <w:p w:rsidR="00536A7B" w:rsidRDefault="00536A7B" w:rsidP="005D427C">
      <w:pPr>
        <w:spacing w:after="0" w:line="240" w:lineRule="auto"/>
        <w:jc w:val="both"/>
        <w:rPr>
          <w:iCs/>
          <w:sz w:val="24"/>
          <w:szCs w:val="24"/>
        </w:rPr>
      </w:pPr>
    </w:p>
    <w:p w:rsidR="00690FFF" w:rsidRPr="00C87097" w:rsidRDefault="00690FFF" w:rsidP="005D427C">
      <w:pPr>
        <w:spacing w:after="0" w:line="240" w:lineRule="auto"/>
        <w:jc w:val="both"/>
        <w:rPr>
          <w:iCs/>
          <w:sz w:val="24"/>
          <w:szCs w:val="24"/>
        </w:rPr>
      </w:pPr>
      <w:r w:rsidRPr="00C87097">
        <w:rPr>
          <w:iCs/>
          <w:sz w:val="24"/>
          <w:szCs w:val="24"/>
        </w:rPr>
        <w:lastRenderedPageBreak/>
        <w:t xml:space="preserve">Praha </w:t>
      </w:r>
      <w:r w:rsidR="000F4381" w:rsidRPr="00C87097">
        <w:rPr>
          <w:iCs/>
          <w:sz w:val="24"/>
          <w:szCs w:val="24"/>
        </w:rPr>
        <w:t>16</w:t>
      </w:r>
      <w:r w:rsidRPr="00C87097">
        <w:rPr>
          <w:iCs/>
          <w:sz w:val="24"/>
          <w:szCs w:val="24"/>
        </w:rPr>
        <w:t xml:space="preserve">. </w:t>
      </w:r>
      <w:r w:rsidR="006D36CD" w:rsidRPr="00C87097">
        <w:rPr>
          <w:iCs/>
          <w:sz w:val="24"/>
          <w:szCs w:val="24"/>
        </w:rPr>
        <w:t>června</w:t>
      </w:r>
      <w:r w:rsidRPr="00C87097">
        <w:rPr>
          <w:iCs/>
          <w:sz w:val="24"/>
          <w:szCs w:val="24"/>
        </w:rPr>
        <w:t xml:space="preserve"> 2014</w:t>
      </w:r>
    </w:p>
    <w:p w:rsidR="007C7BF4" w:rsidRDefault="007C7BF4" w:rsidP="005D427C">
      <w:pPr>
        <w:spacing w:after="0" w:line="240" w:lineRule="auto"/>
        <w:jc w:val="both"/>
        <w:rPr>
          <w:iCs/>
          <w:sz w:val="24"/>
          <w:szCs w:val="24"/>
        </w:rPr>
      </w:pPr>
    </w:p>
    <w:p w:rsidR="00536A7B" w:rsidRPr="00C87097" w:rsidRDefault="00536A7B" w:rsidP="005D427C">
      <w:pPr>
        <w:spacing w:after="0" w:line="240" w:lineRule="auto"/>
        <w:jc w:val="both"/>
        <w:rPr>
          <w:iCs/>
          <w:sz w:val="24"/>
          <w:szCs w:val="24"/>
        </w:rPr>
      </w:pPr>
    </w:p>
    <w:p w:rsidR="00690FFF" w:rsidRPr="00C87097" w:rsidRDefault="00690FFF" w:rsidP="005D427C">
      <w:pPr>
        <w:spacing w:after="0" w:line="240" w:lineRule="auto"/>
        <w:jc w:val="both"/>
        <w:rPr>
          <w:iCs/>
          <w:sz w:val="24"/>
          <w:szCs w:val="24"/>
        </w:rPr>
      </w:pPr>
      <w:r w:rsidRPr="00C87097">
        <w:rPr>
          <w:iCs/>
          <w:sz w:val="24"/>
          <w:szCs w:val="24"/>
        </w:rPr>
        <w:t>Za ČPS</w:t>
      </w:r>
    </w:p>
    <w:p w:rsidR="00690FFF" w:rsidRPr="00C87097" w:rsidRDefault="00690FFF" w:rsidP="005D427C">
      <w:pPr>
        <w:spacing w:after="0" w:line="240" w:lineRule="auto"/>
        <w:jc w:val="both"/>
        <w:rPr>
          <w:iCs/>
          <w:sz w:val="24"/>
          <w:szCs w:val="24"/>
        </w:rPr>
      </w:pPr>
      <w:r w:rsidRPr="00C87097">
        <w:rPr>
          <w:iCs/>
          <w:sz w:val="24"/>
          <w:szCs w:val="24"/>
        </w:rPr>
        <w:t>Ing. Jan Ruml</w:t>
      </w:r>
    </w:p>
    <w:p w:rsidR="00690FFF" w:rsidRPr="00C87097" w:rsidRDefault="00690FFF" w:rsidP="005D427C">
      <w:pPr>
        <w:spacing w:after="0" w:line="240" w:lineRule="auto"/>
        <w:jc w:val="both"/>
        <w:rPr>
          <w:iCs/>
          <w:sz w:val="24"/>
          <w:szCs w:val="24"/>
        </w:rPr>
      </w:pPr>
      <w:r w:rsidRPr="00C87097">
        <w:rPr>
          <w:iCs/>
          <w:sz w:val="24"/>
          <w:szCs w:val="24"/>
        </w:rPr>
        <w:t>výkonný ředitel</w:t>
      </w:r>
    </w:p>
    <w:sectPr w:rsidR="00690FFF" w:rsidRPr="00C87097" w:rsidSect="002D030F">
      <w:footerReference w:type="default" r:id="rId8"/>
      <w:headerReference w:type="first" r:id="rId9"/>
      <w:pgSz w:w="11906" w:h="16838" w:code="9"/>
      <w:pgMar w:top="1097" w:right="1418" w:bottom="851" w:left="1418" w:header="709" w:footer="2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C04" w:rsidRDefault="00086C04" w:rsidP="00690FFF">
      <w:pPr>
        <w:spacing w:after="0" w:line="240" w:lineRule="auto"/>
      </w:pPr>
      <w:r>
        <w:separator/>
      </w:r>
    </w:p>
  </w:endnote>
  <w:endnote w:type="continuationSeparator" w:id="0">
    <w:p w:rsidR="00086C04" w:rsidRDefault="00086C04" w:rsidP="00690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185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690FFF" w:rsidRPr="00690FFF" w:rsidRDefault="00AD5E72">
        <w:pPr>
          <w:pStyle w:val="Zpat"/>
          <w:jc w:val="center"/>
          <w:rPr>
            <w:sz w:val="28"/>
            <w:szCs w:val="28"/>
          </w:rPr>
        </w:pPr>
        <w:r w:rsidRPr="00690FFF">
          <w:rPr>
            <w:sz w:val="28"/>
            <w:szCs w:val="28"/>
          </w:rPr>
          <w:fldChar w:fldCharType="begin"/>
        </w:r>
        <w:r w:rsidR="00690FFF" w:rsidRPr="00690FFF">
          <w:rPr>
            <w:sz w:val="28"/>
            <w:szCs w:val="28"/>
          </w:rPr>
          <w:instrText xml:space="preserve"> PAGE   \* MERGEFORMAT </w:instrText>
        </w:r>
        <w:r w:rsidRPr="00690FFF">
          <w:rPr>
            <w:sz w:val="28"/>
            <w:szCs w:val="28"/>
          </w:rPr>
          <w:fldChar w:fldCharType="separate"/>
        </w:r>
        <w:r w:rsidR="002E6D39">
          <w:rPr>
            <w:noProof/>
            <w:sz w:val="28"/>
            <w:szCs w:val="28"/>
          </w:rPr>
          <w:t>2</w:t>
        </w:r>
        <w:r w:rsidRPr="00690FFF">
          <w:rPr>
            <w:sz w:val="28"/>
            <w:szCs w:val="28"/>
          </w:rPr>
          <w:fldChar w:fldCharType="end"/>
        </w:r>
      </w:p>
    </w:sdtContent>
  </w:sdt>
  <w:p w:rsidR="00690FFF" w:rsidRDefault="00690FF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C04" w:rsidRDefault="00086C04" w:rsidP="00690FFF">
      <w:pPr>
        <w:spacing w:after="0" w:line="240" w:lineRule="auto"/>
      </w:pPr>
      <w:r>
        <w:separator/>
      </w:r>
    </w:p>
  </w:footnote>
  <w:footnote w:type="continuationSeparator" w:id="0">
    <w:p w:rsidR="00086C04" w:rsidRDefault="00086C04" w:rsidP="00690FFF">
      <w:pPr>
        <w:spacing w:after="0" w:line="240" w:lineRule="auto"/>
      </w:pPr>
      <w:r>
        <w:continuationSeparator/>
      </w:r>
    </w:p>
  </w:footnote>
  <w:footnote w:id="1">
    <w:p w:rsidR="00F76FB1" w:rsidRDefault="00F76FB1">
      <w:pPr>
        <w:pStyle w:val="Textpoznpodarou"/>
      </w:pPr>
      <w:r>
        <w:rPr>
          <w:rStyle w:val="Znakapoznpodarou"/>
        </w:rPr>
        <w:footnoteRef/>
      </w:r>
      <w:r>
        <w:t xml:space="preserve"> K tomu viz např. </w:t>
      </w:r>
      <w:r w:rsidRPr="0006450F">
        <w:t xml:space="preserve">C-168/85 </w:t>
      </w:r>
      <w:r w:rsidR="00B14160">
        <w:t>Komise v. Itálie, bod 13, C-239/85 Komise v. Belgie, bod 7, C-116/86 Komise v. Itálie, bod 15, C-235/91 Komise v. Irsko, body 9-10, C-358/98 Komise v. Itálie, bod 17.</w:t>
      </w:r>
    </w:p>
  </w:footnote>
  <w:footnote w:id="2">
    <w:p w:rsidR="007759A6" w:rsidRDefault="007759A6" w:rsidP="007759A6">
      <w:pPr>
        <w:pStyle w:val="Textpoznpodarou"/>
      </w:pPr>
      <w:r>
        <w:rPr>
          <w:rStyle w:val="Znakapoznpodarou"/>
        </w:rPr>
        <w:footnoteRef/>
      </w:r>
      <w:r>
        <w:t xml:space="preserve"> Zákon č. 458/2000 Sb., o podmínkách podnikání a o výkonu státní správy v energetických odvětvích a o změně některých zákonů v platném znění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FFF" w:rsidRDefault="00690FFF" w:rsidP="00690FFF">
    <w:pPr>
      <w:pStyle w:val="Zhlav"/>
      <w:jc w:val="center"/>
    </w:pPr>
    <w:r w:rsidRPr="00690FFF">
      <w:rPr>
        <w:noProof/>
        <w:lang w:eastAsia="cs-CZ"/>
      </w:rPr>
      <w:drawing>
        <wp:inline distT="0" distB="0" distL="0" distR="0">
          <wp:extent cx="2087880" cy="554990"/>
          <wp:effectExtent l="0" t="0" r="762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880" cy="554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74B8"/>
    <w:multiLevelType w:val="hybridMultilevel"/>
    <w:tmpl w:val="B6DA69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941C0"/>
    <w:multiLevelType w:val="hybridMultilevel"/>
    <w:tmpl w:val="6A0CCD62"/>
    <w:lvl w:ilvl="0" w:tplc="7A26A2DA">
      <w:numFmt w:val="bullet"/>
      <w:lvlText w:val="•"/>
      <w:lvlJc w:val="left"/>
      <w:pPr>
        <w:ind w:left="705" w:hanging="705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CA2B19"/>
    <w:multiLevelType w:val="hybridMultilevel"/>
    <w:tmpl w:val="412CA0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91D6B"/>
    <w:multiLevelType w:val="hybridMultilevel"/>
    <w:tmpl w:val="00680982"/>
    <w:lvl w:ilvl="0" w:tplc="D234C7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1B7A6B"/>
    <w:multiLevelType w:val="hybridMultilevel"/>
    <w:tmpl w:val="63C014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E0DD7"/>
    <w:multiLevelType w:val="hybridMultilevel"/>
    <w:tmpl w:val="14FEC34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20210D6"/>
    <w:multiLevelType w:val="hybridMultilevel"/>
    <w:tmpl w:val="BEB6D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9544EF"/>
    <w:multiLevelType w:val="hybridMultilevel"/>
    <w:tmpl w:val="22463A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282"/>
    <w:rsid w:val="00011BDA"/>
    <w:rsid w:val="00016C1D"/>
    <w:rsid w:val="0002422C"/>
    <w:rsid w:val="00031B5E"/>
    <w:rsid w:val="0006450F"/>
    <w:rsid w:val="0008317D"/>
    <w:rsid w:val="00086C04"/>
    <w:rsid w:val="000C6656"/>
    <w:rsid w:val="000D0AA5"/>
    <w:rsid w:val="000E37BF"/>
    <w:rsid w:val="000E52C2"/>
    <w:rsid w:val="000E7932"/>
    <w:rsid w:val="000F4381"/>
    <w:rsid w:val="00193718"/>
    <w:rsid w:val="001A0135"/>
    <w:rsid w:val="001C6B0A"/>
    <w:rsid w:val="001F2C51"/>
    <w:rsid w:val="0021298B"/>
    <w:rsid w:val="00262483"/>
    <w:rsid w:val="00277E48"/>
    <w:rsid w:val="002A2BA0"/>
    <w:rsid w:val="002B0284"/>
    <w:rsid w:val="002D030F"/>
    <w:rsid w:val="002E2A45"/>
    <w:rsid w:val="002E6D39"/>
    <w:rsid w:val="00352C7C"/>
    <w:rsid w:val="00362EAA"/>
    <w:rsid w:val="00363282"/>
    <w:rsid w:val="00367917"/>
    <w:rsid w:val="0037075A"/>
    <w:rsid w:val="003A2B73"/>
    <w:rsid w:val="003B215F"/>
    <w:rsid w:val="00414109"/>
    <w:rsid w:val="00442ECB"/>
    <w:rsid w:val="00491215"/>
    <w:rsid w:val="00494FDB"/>
    <w:rsid w:val="004A6E7C"/>
    <w:rsid w:val="004E186A"/>
    <w:rsid w:val="00536A7B"/>
    <w:rsid w:val="00560BF0"/>
    <w:rsid w:val="00561129"/>
    <w:rsid w:val="005D427C"/>
    <w:rsid w:val="0062542B"/>
    <w:rsid w:val="00626C1E"/>
    <w:rsid w:val="00653F9A"/>
    <w:rsid w:val="00683824"/>
    <w:rsid w:val="00685FA7"/>
    <w:rsid w:val="00690FFF"/>
    <w:rsid w:val="006B3EB2"/>
    <w:rsid w:val="006D36CD"/>
    <w:rsid w:val="006D43D5"/>
    <w:rsid w:val="00712452"/>
    <w:rsid w:val="00720444"/>
    <w:rsid w:val="007609A6"/>
    <w:rsid w:val="00774889"/>
    <w:rsid w:val="007759A6"/>
    <w:rsid w:val="007B11BD"/>
    <w:rsid w:val="007C7BF4"/>
    <w:rsid w:val="007F7FA2"/>
    <w:rsid w:val="00822C71"/>
    <w:rsid w:val="00822ED2"/>
    <w:rsid w:val="00853962"/>
    <w:rsid w:val="00855B2D"/>
    <w:rsid w:val="008A216A"/>
    <w:rsid w:val="008A479B"/>
    <w:rsid w:val="008B7B7B"/>
    <w:rsid w:val="008E1647"/>
    <w:rsid w:val="009070FF"/>
    <w:rsid w:val="00943355"/>
    <w:rsid w:val="009759BB"/>
    <w:rsid w:val="00975BD0"/>
    <w:rsid w:val="00984E40"/>
    <w:rsid w:val="009B5E95"/>
    <w:rsid w:val="009E17B0"/>
    <w:rsid w:val="00A05231"/>
    <w:rsid w:val="00A31744"/>
    <w:rsid w:val="00A32A3B"/>
    <w:rsid w:val="00A47E50"/>
    <w:rsid w:val="00A7013D"/>
    <w:rsid w:val="00A94DAE"/>
    <w:rsid w:val="00AB0BCE"/>
    <w:rsid w:val="00AD5E72"/>
    <w:rsid w:val="00AF03F3"/>
    <w:rsid w:val="00B14160"/>
    <w:rsid w:val="00B519D4"/>
    <w:rsid w:val="00B5741A"/>
    <w:rsid w:val="00BC074E"/>
    <w:rsid w:val="00BF2C72"/>
    <w:rsid w:val="00C126B3"/>
    <w:rsid w:val="00C24D08"/>
    <w:rsid w:val="00C33A47"/>
    <w:rsid w:val="00C352E3"/>
    <w:rsid w:val="00C52859"/>
    <w:rsid w:val="00C54BBC"/>
    <w:rsid w:val="00C6680C"/>
    <w:rsid w:val="00C87097"/>
    <w:rsid w:val="00D06F5C"/>
    <w:rsid w:val="00D338C1"/>
    <w:rsid w:val="00DD158F"/>
    <w:rsid w:val="00DE2C1F"/>
    <w:rsid w:val="00DE3D65"/>
    <w:rsid w:val="00DF1D14"/>
    <w:rsid w:val="00E047E0"/>
    <w:rsid w:val="00E144DF"/>
    <w:rsid w:val="00E46A27"/>
    <w:rsid w:val="00E905B8"/>
    <w:rsid w:val="00E918E7"/>
    <w:rsid w:val="00EC73D2"/>
    <w:rsid w:val="00EF5BB6"/>
    <w:rsid w:val="00F10F04"/>
    <w:rsid w:val="00F31C53"/>
    <w:rsid w:val="00F32608"/>
    <w:rsid w:val="00F5171E"/>
    <w:rsid w:val="00F76FB1"/>
    <w:rsid w:val="00FB2F5F"/>
    <w:rsid w:val="00FF078C"/>
    <w:rsid w:val="00FF1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7B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5BD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690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90FFF"/>
  </w:style>
  <w:style w:type="paragraph" w:styleId="Zpat">
    <w:name w:val="footer"/>
    <w:basedOn w:val="Normln"/>
    <w:link w:val="ZpatChar"/>
    <w:uiPriority w:val="99"/>
    <w:unhideWhenUsed/>
    <w:rsid w:val="00690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0FFF"/>
  </w:style>
  <w:style w:type="paragraph" w:styleId="Textbubliny">
    <w:name w:val="Balloon Text"/>
    <w:basedOn w:val="Normln"/>
    <w:link w:val="TextbublinyChar"/>
    <w:uiPriority w:val="99"/>
    <w:semiHidden/>
    <w:unhideWhenUsed/>
    <w:rsid w:val="00690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FF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070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70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70F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70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70FF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6FB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6FB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6FB1"/>
    <w:rPr>
      <w:vertAlign w:val="superscript"/>
    </w:rPr>
  </w:style>
  <w:style w:type="paragraph" w:styleId="Bezmezer">
    <w:name w:val="No Spacing"/>
    <w:uiPriority w:val="1"/>
    <w:qFormat/>
    <w:rsid w:val="001F2C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5BD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690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90FFF"/>
  </w:style>
  <w:style w:type="paragraph" w:styleId="Zpat">
    <w:name w:val="footer"/>
    <w:basedOn w:val="Normln"/>
    <w:link w:val="ZpatChar"/>
    <w:uiPriority w:val="99"/>
    <w:unhideWhenUsed/>
    <w:rsid w:val="00690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0FFF"/>
  </w:style>
  <w:style w:type="paragraph" w:styleId="Textbubliny">
    <w:name w:val="Balloon Text"/>
    <w:basedOn w:val="Normln"/>
    <w:link w:val="TextbublinyChar"/>
    <w:uiPriority w:val="99"/>
    <w:semiHidden/>
    <w:unhideWhenUsed/>
    <w:rsid w:val="00690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FF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070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70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70F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70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70FF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6FB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6FB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6FB1"/>
    <w:rPr>
      <w:vertAlign w:val="superscript"/>
    </w:rPr>
  </w:style>
  <w:style w:type="paragraph" w:styleId="Bezmezer">
    <w:name w:val="No Spacing"/>
    <w:uiPriority w:val="1"/>
    <w:qFormat/>
    <w:rsid w:val="001F2C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1F953-D45E-400C-A7EC-41EE4D6CF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1747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Redakce ČPS</dc:creator>
  <cp:lastModifiedBy>Pecanek 2</cp:lastModifiedBy>
  <cp:revision>2</cp:revision>
  <dcterms:created xsi:type="dcterms:W3CDTF">2014-06-16T10:23:00Z</dcterms:created>
  <dcterms:modified xsi:type="dcterms:W3CDTF">2014-06-16T10:23:00Z</dcterms:modified>
</cp:coreProperties>
</file>