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0348" w:type="dxa"/>
        <w:tblInd w:w="-459" w:type="dxa"/>
        <w:tblLook w:val="04A0"/>
      </w:tblPr>
      <w:tblGrid>
        <w:gridCol w:w="2660"/>
        <w:gridCol w:w="7688"/>
      </w:tblGrid>
      <w:tr w:rsidR="00493533" w:rsidRPr="006E3A8F" w:rsidTr="006E3A8F">
        <w:trPr>
          <w:trHeight w:val="454"/>
        </w:trPr>
        <w:tc>
          <w:tcPr>
            <w:tcW w:w="2660" w:type="dxa"/>
          </w:tcPr>
          <w:p w:rsidR="00493533" w:rsidRPr="006E3A8F" w:rsidRDefault="00493533" w:rsidP="00AC6B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6E3A8F">
              <w:rPr>
                <w:rFonts w:ascii="Times New Roman" w:hAnsi="Times New Roman"/>
                <w:b/>
                <w:sz w:val="26"/>
                <w:szCs w:val="26"/>
              </w:rPr>
              <w:t>Název materiálu</w:t>
            </w:r>
          </w:p>
        </w:tc>
        <w:tc>
          <w:tcPr>
            <w:tcW w:w="7688" w:type="dxa"/>
          </w:tcPr>
          <w:p w:rsidR="00493533" w:rsidRPr="006E3A8F" w:rsidRDefault="00107524">
            <w:pPr>
              <w:rPr>
                <w:rFonts w:ascii="Times New Roman" w:hAnsi="Times New Roman"/>
                <w:sz w:val="24"/>
                <w:szCs w:val="24"/>
              </w:rPr>
            </w:pPr>
            <w:r w:rsidRPr="00107524">
              <w:rPr>
                <w:rFonts w:ascii="Times New Roman" w:hAnsi="Times New Roman"/>
                <w:sz w:val="24"/>
                <w:szCs w:val="24"/>
              </w:rPr>
              <w:t>Plán odpadového hospodářství 9 České republiky na období 2015 – 2024</w:t>
            </w:r>
          </w:p>
        </w:tc>
      </w:tr>
      <w:tr w:rsidR="00107524" w:rsidRPr="006E3A8F" w:rsidTr="006E3A8F">
        <w:trPr>
          <w:trHeight w:val="454"/>
        </w:trPr>
        <w:tc>
          <w:tcPr>
            <w:tcW w:w="2660" w:type="dxa"/>
          </w:tcPr>
          <w:p w:rsidR="00107524" w:rsidRPr="006E3A8F" w:rsidRDefault="00107524" w:rsidP="00AC6B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E3A8F">
              <w:rPr>
                <w:rFonts w:ascii="Times New Roman" w:hAnsi="Times New Roman"/>
                <w:b/>
                <w:sz w:val="26"/>
                <w:szCs w:val="26"/>
              </w:rPr>
              <w:t>Jméno</w:t>
            </w:r>
          </w:p>
        </w:tc>
        <w:tc>
          <w:tcPr>
            <w:tcW w:w="7688" w:type="dxa"/>
          </w:tcPr>
          <w:p w:rsidR="00107524" w:rsidRPr="00B0639E" w:rsidRDefault="00107524" w:rsidP="001C4D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39E">
              <w:rPr>
                <w:rFonts w:ascii="Times New Roman" w:hAnsi="Times New Roman"/>
                <w:sz w:val="24"/>
                <w:szCs w:val="24"/>
              </w:rPr>
              <w:t>Český plynárenský svaz</w:t>
            </w:r>
          </w:p>
          <w:p w:rsidR="00107524" w:rsidRPr="00B0639E" w:rsidRDefault="00107524" w:rsidP="001C4D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39E">
              <w:rPr>
                <w:rFonts w:ascii="Times New Roman" w:hAnsi="Times New Roman"/>
                <w:sz w:val="24"/>
                <w:szCs w:val="24"/>
              </w:rPr>
              <w:t>Ing. Jan Ruml</w:t>
            </w:r>
          </w:p>
        </w:tc>
      </w:tr>
      <w:tr w:rsidR="00107524" w:rsidRPr="006E3A8F" w:rsidTr="006E3A8F">
        <w:trPr>
          <w:trHeight w:val="454"/>
        </w:trPr>
        <w:tc>
          <w:tcPr>
            <w:tcW w:w="2660" w:type="dxa"/>
          </w:tcPr>
          <w:p w:rsidR="00107524" w:rsidRPr="006E3A8F" w:rsidRDefault="00107524" w:rsidP="00AC6B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E3A8F">
              <w:rPr>
                <w:rFonts w:ascii="Times New Roman" w:hAnsi="Times New Roman"/>
                <w:b/>
                <w:sz w:val="26"/>
                <w:szCs w:val="26"/>
              </w:rPr>
              <w:t>Telefon</w:t>
            </w:r>
          </w:p>
        </w:tc>
        <w:tc>
          <w:tcPr>
            <w:tcW w:w="7688" w:type="dxa"/>
          </w:tcPr>
          <w:p w:rsidR="00107524" w:rsidRPr="00B0639E" w:rsidRDefault="00107524" w:rsidP="001C4D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0639E">
              <w:rPr>
                <w:rFonts w:ascii="Times New Roman" w:hAnsi="Times New Roman"/>
                <w:sz w:val="24"/>
                <w:szCs w:val="24"/>
              </w:rPr>
              <w:t>+420 222 518 811</w:t>
            </w:r>
          </w:p>
        </w:tc>
      </w:tr>
      <w:tr w:rsidR="00107524" w:rsidRPr="006E3A8F" w:rsidTr="006E3A8F">
        <w:trPr>
          <w:trHeight w:val="454"/>
        </w:trPr>
        <w:tc>
          <w:tcPr>
            <w:tcW w:w="2660" w:type="dxa"/>
          </w:tcPr>
          <w:p w:rsidR="00107524" w:rsidRPr="006E3A8F" w:rsidRDefault="00107524" w:rsidP="00AC6BB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E3A8F">
              <w:rPr>
                <w:rFonts w:ascii="Times New Roman" w:hAnsi="Times New Roman"/>
                <w:b/>
                <w:sz w:val="26"/>
                <w:szCs w:val="26"/>
              </w:rPr>
              <w:t>e-mail</w:t>
            </w:r>
          </w:p>
        </w:tc>
        <w:tc>
          <w:tcPr>
            <w:tcW w:w="7688" w:type="dxa"/>
          </w:tcPr>
          <w:p w:rsidR="00107524" w:rsidRPr="00B0639E" w:rsidRDefault="00107524" w:rsidP="001C4D26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639E">
              <w:rPr>
                <w:rFonts w:ascii="Times New Roman" w:hAnsi="Times New Roman"/>
                <w:sz w:val="24"/>
                <w:szCs w:val="24"/>
              </w:rPr>
              <w:t>jan.ruml</w:t>
            </w:r>
            <w:proofErr w:type="spellEnd"/>
            <w:r w:rsidRPr="00B0639E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B0639E">
              <w:rPr>
                <w:rFonts w:ascii="Times New Roman" w:hAnsi="Times New Roman"/>
                <w:sz w:val="24"/>
                <w:szCs w:val="24"/>
              </w:rPr>
              <w:t>cgoa.cz</w:t>
            </w:r>
            <w:proofErr w:type="spellEnd"/>
          </w:p>
        </w:tc>
      </w:tr>
      <w:tr w:rsidR="00107524" w:rsidRPr="006E3A8F" w:rsidTr="006E3A8F">
        <w:trPr>
          <w:trHeight w:val="284"/>
        </w:trPr>
        <w:tc>
          <w:tcPr>
            <w:tcW w:w="2660" w:type="dxa"/>
          </w:tcPr>
          <w:p w:rsidR="00107524" w:rsidRPr="006E3A8F" w:rsidRDefault="001075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107524" w:rsidRPr="006E3A8F" w:rsidRDefault="001075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A8F">
              <w:rPr>
                <w:rFonts w:ascii="Times New Roman" w:hAnsi="Times New Roman"/>
                <w:b/>
                <w:sz w:val="24"/>
                <w:szCs w:val="24"/>
              </w:rPr>
              <w:t>OBECNÁ PŘIPOMÍNKA:</w:t>
            </w:r>
          </w:p>
        </w:tc>
      </w:tr>
      <w:tr w:rsidR="00107524" w:rsidRPr="006E3A8F" w:rsidTr="006E3A8F">
        <w:trPr>
          <w:trHeight w:val="1134"/>
        </w:trPr>
        <w:tc>
          <w:tcPr>
            <w:tcW w:w="2660" w:type="dxa"/>
          </w:tcPr>
          <w:p w:rsidR="00107524" w:rsidRPr="006E3A8F" w:rsidRDefault="001075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107524" w:rsidRDefault="00107524" w:rsidP="00CB06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Plán odpadového hospodářství ČR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představuje strategický dokument, který by měl předurčovat optimální postup </w:t>
            </w:r>
            <w:r w:rsidRPr="00CB0622">
              <w:rPr>
                <w:rFonts w:ascii="Times New Roman" w:hAnsi="Times New Roman"/>
                <w:sz w:val="24"/>
                <w:szCs w:val="24"/>
              </w:rPr>
              <w:t xml:space="preserve">České republiky v oblasti odpadového hospodářství </w:t>
            </w:r>
            <w:r w:rsidR="005C6D55">
              <w:rPr>
                <w:rFonts w:ascii="Times New Roman" w:hAnsi="Times New Roman"/>
                <w:sz w:val="24"/>
                <w:szCs w:val="24"/>
              </w:rPr>
              <w:t xml:space="preserve">v </w:t>
            </w:r>
            <w:r w:rsidRPr="00CB0622">
              <w:rPr>
                <w:rFonts w:ascii="Times New Roman" w:hAnsi="Times New Roman"/>
                <w:sz w:val="24"/>
                <w:szCs w:val="24"/>
              </w:rPr>
              <w:t>následující</w:t>
            </w:r>
            <w:r w:rsidR="005C6D55">
              <w:rPr>
                <w:rFonts w:ascii="Times New Roman" w:hAnsi="Times New Roman"/>
                <w:sz w:val="24"/>
                <w:szCs w:val="24"/>
              </w:rPr>
              <w:t>m</w:t>
            </w:r>
            <w:r w:rsidRPr="00CB0622">
              <w:rPr>
                <w:rFonts w:ascii="Times New Roman" w:hAnsi="Times New Roman"/>
                <w:sz w:val="24"/>
                <w:szCs w:val="24"/>
              </w:rPr>
              <w:t xml:space="preserve"> desetileté</w:t>
            </w:r>
            <w:r w:rsidR="005C6D55">
              <w:rPr>
                <w:rFonts w:ascii="Times New Roman" w:hAnsi="Times New Roman"/>
                <w:sz w:val="24"/>
                <w:szCs w:val="24"/>
              </w:rPr>
              <w:t>m</w:t>
            </w:r>
            <w:r w:rsidRPr="00CB0622">
              <w:rPr>
                <w:rFonts w:ascii="Times New Roman" w:hAnsi="Times New Roman"/>
                <w:sz w:val="24"/>
                <w:szCs w:val="24"/>
              </w:rPr>
              <w:t xml:space="preserve"> období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524" w:rsidRDefault="00107524" w:rsidP="00C34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případě takového materiálu je překvapující, že jedním z východisek projekčního modelu, resp. základním předpokladem je p</w:t>
            </w:r>
            <w:r w:rsidRPr="00A00B5B">
              <w:rPr>
                <w:rFonts w:ascii="Times New Roman" w:hAnsi="Times New Roman"/>
                <w:sz w:val="24"/>
                <w:szCs w:val="24"/>
              </w:rPr>
              <w:t xml:space="preserve">ředpokládaný nárůst kapacity zařízení pro energetické využití odpadu (tabulka </w:t>
            </w:r>
            <w:r>
              <w:rPr>
                <w:rFonts w:ascii="Times New Roman" w:hAnsi="Times New Roman"/>
                <w:sz w:val="24"/>
                <w:szCs w:val="24"/>
              </w:rPr>
              <w:t>21)</w:t>
            </w:r>
            <w:r w:rsidRPr="00A00B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jeho </w:t>
            </w:r>
            <w:r w:rsidRPr="00A00B5B">
              <w:rPr>
                <w:rFonts w:ascii="Times New Roman" w:hAnsi="Times New Roman"/>
                <w:sz w:val="24"/>
                <w:szCs w:val="24"/>
              </w:rPr>
              <w:t>kompletn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í </w:t>
            </w:r>
            <w:r w:rsidRPr="00A00B5B">
              <w:rPr>
                <w:rFonts w:ascii="Times New Roman" w:hAnsi="Times New Roman"/>
                <w:sz w:val="24"/>
                <w:szCs w:val="24"/>
              </w:rPr>
              <w:t>využ</w:t>
            </w:r>
            <w:r>
              <w:rPr>
                <w:rFonts w:ascii="Times New Roman" w:hAnsi="Times New Roman"/>
                <w:sz w:val="24"/>
                <w:szCs w:val="24"/>
              </w:rPr>
              <w:t>ití</w:t>
            </w:r>
            <w:r w:rsidRPr="00A00B5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Hodnoty v tabulce 21 byly přitom získány na základě provedeného </w:t>
            </w:r>
            <w:r w:rsidRPr="00C346BD">
              <w:rPr>
                <w:rFonts w:ascii="Times New Roman" w:hAnsi="Times New Roman"/>
                <w:sz w:val="24"/>
                <w:szCs w:val="24"/>
              </w:rPr>
              <w:t>průzkum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C346BD">
              <w:rPr>
                <w:rFonts w:ascii="Times New Roman" w:hAnsi="Times New Roman"/>
                <w:sz w:val="24"/>
                <w:szCs w:val="24"/>
              </w:rPr>
              <w:t xml:space="preserve"> plánovaných kapacit zařízení pro energetické využití odpadů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C346BD">
              <w:rPr>
                <w:rFonts w:ascii="Times New Roman" w:hAnsi="Times New Roman"/>
                <w:sz w:val="24"/>
                <w:szCs w:val="24"/>
              </w:rPr>
              <w:t xml:space="preserve">na základě současného stavu (3 </w:t>
            </w:r>
            <w:proofErr w:type="spellStart"/>
            <w:r w:rsidRPr="00C346BD">
              <w:rPr>
                <w:rFonts w:ascii="Times New Roman" w:hAnsi="Times New Roman"/>
                <w:sz w:val="24"/>
                <w:szCs w:val="24"/>
              </w:rPr>
              <w:t>ZEVO</w:t>
            </w:r>
            <w:proofErr w:type="spellEnd"/>
            <w:r w:rsidRPr="00C346BD">
              <w:rPr>
                <w:rFonts w:ascii="Times New Roman" w:hAnsi="Times New Roman"/>
                <w:sz w:val="24"/>
                <w:szCs w:val="24"/>
              </w:rPr>
              <w:t xml:space="preserve"> provozovaná v ČR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346BD">
              <w:rPr>
                <w:rFonts w:ascii="Times New Roman" w:hAnsi="Times New Roman"/>
                <w:sz w:val="24"/>
                <w:szCs w:val="24"/>
              </w:rPr>
              <w:t>Praha, Brno a Liberec o souhrnné kapacitě 630 000 t/rok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C346BD">
              <w:rPr>
                <w:rFonts w:ascii="Times New Roman" w:hAnsi="Times New Roman"/>
                <w:sz w:val="24"/>
                <w:szCs w:val="24"/>
              </w:rPr>
              <w:t>informac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C346BD"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346BD">
              <w:rPr>
                <w:rFonts w:ascii="Times New Roman" w:hAnsi="Times New Roman"/>
                <w:sz w:val="24"/>
                <w:szCs w:val="24"/>
                <w:u w:val="single"/>
              </w:rPr>
              <w:t>připravovaných projektech v různé fázi dokončení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346B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Laik by předpokládal, že bude vycházeno z objemu odpadů v</w:t>
            </w:r>
            <w:r w:rsidR="005C6D55">
              <w:rPr>
                <w:rFonts w:ascii="Times New Roman" w:hAnsi="Times New Roman"/>
                <w:sz w:val="24"/>
                <w:szCs w:val="24"/>
              </w:rPr>
              <w:t xml:space="preserve"> daném </w:t>
            </w:r>
            <w:r>
              <w:rPr>
                <w:rFonts w:ascii="Times New Roman" w:hAnsi="Times New Roman"/>
                <w:sz w:val="24"/>
                <w:szCs w:val="24"/>
              </w:rPr>
              <w:t>čase</w:t>
            </w:r>
            <w:r w:rsidR="005C6D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jeho kategorizace, na základě objemu stanovení kapacitních možností jeho využití/zpracování dostupnými technologiemi (při respektování hierarchie nakládání s odpady) a</w:t>
            </w:r>
            <w:r w:rsidR="005C6D5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následně pak dopočtení rozdílu mezi kapacitou zařízení existujících a</w:t>
            </w:r>
            <w:r w:rsidR="005C6D5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zařízení nezbytných.</w:t>
            </w:r>
          </w:p>
          <w:p w:rsidR="00107524" w:rsidRDefault="00107524" w:rsidP="00C34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Laik by výše uvedený postup podrobil ekonomickému vyhodnocení, na jehož základě by se rozhodl, které z alternativních řešení vychází nejen po stránce technické, kapacitní a environmentální, ale i po stránce ekonomické.</w:t>
            </w:r>
          </w:p>
          <w:p w:rsidR="005C6D55" w:rsidRDefault="005C6D55" w:rsidP="00C346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24" w:rsidRDefault="00107524" w:rsidP="00C34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Lze jen přivítat informaci uvedenou v odůvodnění návrhu, že: „ … </w:t>
            </w:r>
            <w:r w:rsidRPr="00327821">
              <w:rPr>
                <w:rFonts w:ascii="Times New Roman" w:hAnsi="Times New Roman"/>
                <w:sz w:val="24"/>
                <w:szCs w:val="24"/>
              </w:rPr>
              <w:t xml:space="preserve">dokument Ekonomická analýza nového Plánu odpadového hospodářství České republiky pro období 2015-2024, jehož obsahem je ekonomická analýza dopadů priorit, cílů, zásad a opatření nového </w:t>
            </w:r>
            <w:proofErr w:type="spellStart"/>
            <w:r w:rsidRPr="00327821">
              <w:rPr>
                <w:rFonts w:ascii="Times New Roman" w:hAnsi="Times New Roman"/>
                <w:sz w:val="24"/>
                <w:szCs w:val="24"/>
              </w:rPr>
              <w:t>POH</w:t>
            </w:r>
            <w:proofErr w:type="spellEnd"/>
            <w:r w:rsidRPr="00327821">
              <w:rPr>
                <w:rFonts w:ascii="Times New Roman" w:hAnsi="Times New Roman"/>
                <w:sz w:val="24"/>
                <w:szCs w:val="24"/>
              </w:rPr>
              <w:t xml:space="preserve"> ČR, preferovaných technologií zpracování odpadů v odpadovém hospodářství ČR pro období 2015–2014, včetně vyhodnocení všech souvisejících možných vlivů, dopadů a rizik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bude </w:t>
            </w:r>
            <w:r w:rsidRPr="00327821">
              <w:rPr>
                <w:rFonts w:ascii="Times New Roman" w:hAnsi="Times New Roman"/>
                <w:sz w:val="24"/>
                <w:szCs w:val="24"/>
              </w:rPr>
              <w:t>zpracován externím dodavatelem a poté bude vyhodnocení nákladů a přínosů k návrhu Plánu odpadového hospodářství řádně dopracováno v závěrečné zprávě hodnocení dopadů regulace</w:t>
            </w:r>
            <w:r>
              <w:rPr>
                <w:rFonts w:ascii="Times New Roman" w:hAnsi="Times New Roman"/>
                <w:sz w:val="24"/>
                <w:szCs w:val="24"/>
              </w:rPr>
              <w:t>.“</w:t>
            </w:r>
          </w:p>
          <w:p w:rsidR="00107524" w:rsidRDefault="00107524" w:rsidP="00C346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24" w:rsidRDefault="00107524" w:rsidP="00C34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Energetické využití odpadů (EVO) má své opodstatnění a za přísně definovaných podmínek, doplněných důslednou a nezávislou kontrolou, může být přínosem pro celou společnost.</w:t>
            </w:r>
          </w:p>
          <w:p w:rsidR="00107524" w:rsidRDefault="00107524" w:rsidP="00754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Celá problematika EVO je však velice společensky citlivá a je na místě jí věnovat maximální pozornost. Pomineme-li otázky dopad</w:t>
            </w:r>
            <w:r w:rsidR="005C6D55">
              <w:rPr>
                <w:rFonts w:ascii="Times New Roman" w:hAnsi="Times New Roman"/>
                <w:sz w:val="24"/>
                <w:szCs w:val="24"/>
              </w:rPr>
              <w:t>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na životní prostředí</w:t>
            </w:r>
            <w:r w:rsidR="005C6D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 tu celá řada dalších rizik. Výstavbu spaloven komunálního odpadu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nelze (kupodivu) uskutečnit bez užití ekonomických nástrojů typu </w:t>
            </w:r>
            <w:r w:rsidRPr="007549D9">
              <w:rPr>
                <w:rFonts w:ascii="Times New Roman" w:hAnsi="Times New Roman"/>
                <w:sz w:val="24"/>
                <w:szCs w:val="24"/>
              </w:rPr>
              <w:t xml:space="preserve">Podpory ze </w:t>
            </w:r>
            <w:proofErr w:type="spellStart"/>
            <w:r w:rsidRPr="007549D9">
              <w:rPr>
                <w:rFonts w:ascii="Times New Roman" w:hAnsi="Times New Roman"/>
                <w:sz w:val="24"/>
                <w:szCs w:val="24"/>
              </w:rPr>
              <w:t>SFŽP</w:t>
            </w:r>
            <w:proofErr w:type="spellEnd"/>
            <w:r w:rsidRPr="007549D9">
              <w:rPr>
                <w:rFonts w:ascii="Times New Roman" w:hAnsi="Times New Roman"/>
                <w:sz w:val="24"/>
                <w:szCs w:val="24"/>
              </w:rPr>
              <w:t xml:space="preserve"> ČR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9D9">
              <w:rPr>
                <w:rFonts w:ascii="Times New Roman" w:hAnsi="Times New Roman"/>
                <w:sz w:val="24"/>
                <w:szCs w:val="24"/>
              </w:rPr>
              <w:t>Podpory ze státního rozpočtu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9D9">
              <w:rPr>
                <w:rFonts w:ascii="Times New Roman" w:hAnsi="Times New Roman"/>
                <w:sz w:val="24"/>
                <w:szCs w:val="24"/>
              </w:rPr>
              <w:t>Výdaj</w:t>
            </w:r>
            <w:r>
              <w:rPr>
                <w:rFonts w:ascii="Times New Roman" w:hAnsi="Times New Roman"/>
                <w:sz w:val="24"/>
                <w:szCs w:val="24"/>
              </w:rPr>
              <w:t>ů</w:t>
            </w:r>
            <w:r w:rsidRPr="007549D9">
              <w:rPr>
                <w:rFonts w:ascii="Times New Roman" w:hAnsi="Times New Roman"/>
                <w:sz w:val="24"/>
                <w:szCs w:val="24"/>
              </w:rPr>
              <w:t xml:space="preserve"> z územních rozpočtů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549D9">
              <w:rPr>
                <w:rFonts w:ascii="Times New Roman" w:hAnsi="Times New Roman"/>
                <w:sz w:val="24"/>
                <w:szCs w:val="24"/>
              </w:rPr>
              <w:t>Podpory z programů a fondů EU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ad. (není bez zajímavosti, že v odůvodnění návrhu je za hlavní riziko vyhodnocena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možnost </w:t>
            </w:r>
            <w:r w:rsidRPr="00327821">
              <w:rPr>
                <w:rFonts w:ascii="Times New Roman" w:hAnsi="Times New Roman"/>
                <w:sz w:val="24"/>
                <w:szCs w:val="24"/>
              </w:rPr>
              <w:t>zastavení finanční podpory z fondů EU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3278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7524" w:rsidRDefault="00107524" w:rsidP="00754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Provoz spaloven je na vstupu i na výstupu zajištěn díky rukojmí, kteří nemají příliš možností se ze systému vymanit. Na vstupu je limitují cena za odvoz odpadků stanovená orgány územní samosprávy (nezřídka současně vlastníky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na výstupu pak cenou tepelné energie prodávané spotřebitelům (nezřídka nájemníkům územní samosprávy) a cenou silové elektřiny, aktuálně soustavně klesající.</w:t>
            </w:r>
          </w:p>
          <w:p w:rsidR="00107524" w:rsidRDefault="00107524" w:rsidP="007549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24" w:rsidRDefault="00107524" w:rsidP="007549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Mezi hlavní priority </w:t>
            </w:r>
            <w:r w:rsidRPr="00E5416C">
              <w:rPr>
                <w:rFonts w:ascii="Times New Roman" w:hAnsi="Times New Roman"/>
                <w:sz w:val="24"/>
                <w:szCs w:val="24"/>
              </w:rPr>
              <w:t>odpadového hospodářství ČR pro období 2015-2024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patří i příslib (výběr):</w:t>
            </w:r>
          </w:p>
          <w:p w:rsidR="00107524" w:rsidRPr="005C6D55" w:rsidRDefault="00107524" w:rsidP="005C6D55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C6D55">
              <w:rPr>
                <w:rFonts w:ascii="Times New Roman" w:hAnsi="Times New Roman"/>
                <w:sz w:val="24"/>
                <w:szCs w:val="24"/>
              </w:rPr>
              <w:t>podpory budování odpovídající efektivní infrastruktury nutné k </w:t>
            </w:r>
            <w:r w:rsidR="005C6D55" w:rsidRPr="005C6D55">
              <w:rPr>
                <w:rFonts w:ascii="Times New Roman" w:hAnsi="Times New Roman"/>
                <w:sz w:val="24"/>
                <w:szCs w:val="24"/>
              </w:rPr>
              <w:t>zajištění a </w:t>
            </w:r>
            <w:r w:rsidRPr="005C6D55">
              <w:rPr>
                <w:rFonts w:ascii="Times New Roman" w:hAnsi="Times New Roman"/>
                <w:sz w:val="24"/>
                <w:szCs w:val="24"/>
              </w:rPr>
              <w:t>zvýšení energetického využití odpadů,</w:t>
            </w:r>
          </w:p>
          <w:p w:rsidR="00107524" w:rsidRPr="005C6D55" w:rsidRDefault="00107524" w:rsidP="005C6D55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C6D55">
              <w:rPr>
                <w:rFonts w:ascii="Times New Roman" w:hAnsi="Times New Roman"/>
                <w:sz w:val="24"/>
                <w:szCs w:val="24"/>
              </w:rPr>
              <w:t>podpory výstavby zařízení, u kterých bude ekonomicky a technicky prokázána účelnost jejich provozování na regionální i celostátní úrovni, vzhledem k přiměřenosti stávaj</w:t>
            </w:r>
            <w:r w:rsidR="005C6D55">
              <w:rPr>
                <w:rFonts w:ascii="Times New Roman" w:hAnsi="Times New Roman"/>
                <w:sz w:val="24"/>
                <w:szCs w:val="24"/>
              </w:rPr>
              <w:t>ící sítě zařízení a v souladu s </w:t>
            </w:r>
            <w:r w:rsidRPr="005C6D55">
              <w:rPr>
                <w:rFonts w:ascii="Times New Roman" w:hAnsi="Times New Roman"/>
                <w:sz w:val="24"/>
                <w:szCs w:val="24"/>
              </w:rPr>
              <w:t>plány odpadového hospodářství kraje a ČR z veřejných zdrojů,</w:t>
            </w:r>
          </w:p>
          <w:p w:rsidR="00107524" w:rsidRPr="005C6D55" w:rsidRDefault="00107524" w:rsidP="005C6D55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C6D55">
              <w:rPr>
                <w:rFonts w:ascii="Times New Roman" w:hAnsi="Times New Roman"/>
                <w:sz w:val="24"/>
                <w:szCs w:val="24"/>
              </w:rPr>
              <w:t>podpory využívání komunálního odpadu v zařízeních k tomu určených jako náhrada fosilních zdrojů (uhlí),</w:t>
            </w:r>
          </w:p>
          <w:p w:rsidR="00107524" w:rsidRPr="005C6D55" w:rsidRDefault="00107524" w:rsidP="005C6D55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C6D55">
              <w:rPr>
                <w:rFonts w:ascii="Times New Roman" w:hAnsi="Times New Roman"/>
                <w:sz w:val="24"/>
                <w:szCs w:val="24"/>
              </w:rPr>
              <w:t>zajištění dostatečných kapacit pro energetické využití komunálních odpadů,</w:t>
            </w:r>
          </w:p>
          <w:p w:rsidR="00107524" w:rsidRPr="005C6D55" w:rsidRDefault="00107524" w:rsidP="005C6D55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C6D55">
              <w:rPr>
                <w:rFonts w:ascii="Times New Roman" w:hAnsi="Times New Roman"/>
                <w:sz w:val="24"/>
                <w:szCs w:val="24"/>
              </w:rPr>
              <w:t xml:space="preserve">možnosti energetického využití odpadů vhodných k recyklaci </w:t>
            </w:r>
            <w:r w:rsidR="005C6D55">
              <w:rPr>
                <w:rFonts w:ascii="Times New Roman" w:hAnsi="Times New Roman"/>
                <w:sz w:val="24"/>
                <w:szCs w:val="24"/>
              </w:rPr>
              <w:t>v </w:t>
            </w:r>
            <w:r w:rsidRPr="005C6D55">
              <w:rPr>
                <w:rFonts w:ascii="Times New Roman" w:hAnsi="Times New Roman"/>
                <w:sz w:val="24"/>
                <w:szCs w:val="24"/>
              </w:rPr>
              <w:t>období hospodářské recese nebo při dlouhodobém poklesu poptávky po „druhotných surovinách“,</w:t>
            </w:r>
          </w:p>
          <w:p w:rsidR="00107524" w:rsidRPr="005C6D55" w:rsidRDefault="00107524" w:rsidP="005C6D55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C6D55">
              <w:rPr>
                <w:rFonts w:ascii="Times New Roman" w:hAnsi="Times New Roman"/>
                <w:sz w:val="24"/>
                <w:szCs w:val="24"/>
              </w:rPr>
              <w:t xml:space="preserve">zákazu </w:t>
            </w:r>
            <w:proofErr w:type="spellStart"/>
            <w:r w:rsidRPr="005C6D55">
              <w:rPr>
                <w:rFonts w:ascii="Times New Roman" w:hAnsi="Times New Roman"/>
                <w:sz w:val="24"/>
                <w:szCs w:val="24"/>
              </w:rPr>
              <w:t>přeshraničního</w:t>
            </w:r>
            <w:proofErr w:type="spellEnd"/>
            <w:r w:rsidRPr="005C6D55">
              <w:rPr>
                <w:rFonts w:ascii="Times New Roman" w:hAnsi="Times New Roman"/>
                <w:sz w:val="24"/>
                <w:szCs w:val="24"/>
              </w:rPr>
              <w:t xml:space="preserve"> přepravy dovozu odpadu do ČR za účelem energetického využití ve spalovně komunálního odpadu, </w:t>
            </w:r>
            <w:r w:rsidR="005C6D55">
              <w:rPr>
                <w:rFonts w:ascii="Times New Roman" w:hAnsi="Times New Roman"/>
                <w:sz w:val="24"/>
                <w:szCs w:val="24"/>
              </w:rPr>
              <w:t>pokud by v </w:t>
            </w:r>
            <w:r w:rsidRPr="005C6D55">
              <w:rPr>
                <w:rFonts w:ascii="Times New Roman" w:hAnsi="Times New Roman"/>
                <w:sz w:val="24"/>
                <w:szCs w:val="24"/>
              </w:rPr>
              <w:t xml:space="preserve">důsledku </w:t>
            </w:r>
            <w:proofErr w:type="spellStart"/>
            <w:r w:rsidRPr="005C6D55">
              <w:rPr>
                <w:rFonts w:ascii="Times New Roman" w:hAnsi="Times New Roman"/>
                <w:sz w:val="24"/>
                <w:szCs w:val="24"/>
              </w:rPr>
              <w:t>přeshraniční</w:t>
            </w:r>
            <w:proofErr w:type="spellEnd"/>
            <w:r w:rsidRPr="005C6D55">
              <w:rPr>
                <w:rFonts w:ascii="Times New Roman" w:hAnsi="Times New Roman"/>
                <w:sz w:val="24"/>
                <w:szCs w:val="24"/>
              </w:rPr>
              <w:t xml:space="preserve"> přepravy musel být odstraňován odpad vznikající v ČR nebo by v důsledku </w:t>
            </w:r>
            <w:proofErr w:type="spellStart"/>
            <w:r w:rsidRPr="005C6D55">
              <w:rPr>
                <w:rFonts w:ascii="Times New Roman" w:hAnsi="Times New Roman"/>
                <w:sz w:val="24"/>
                <w:szCs w:val="24"/>
              </w:rPr>
              <w:t>přeshraniční</w:t>
            </w:r>
            <w:proofErr w:type="spellEnd"/>
            <w:r w:rsidRPr="005C6D55">
              <w:rPr>
                <w:rFonts w:ascii="Times New Roman" w:hAnsi="Times New Roman"/>
                <w:sz w:val="24"/>
                <w:szCs w:val="24"/>
              </w:rPr>
              <w:t xml:space="preserve"> přepravy musel být odpad vznikající v ČR zpracován z</w:t>
            </w:r>
            <w:r w:rsidR="005C6D55">
              <w:rPr>
                <w:rFonts w:ascii="Times New Roman" w:hAnsi="Times New Roman"/>
                <w:sz w:val="24"/>
                <w:szCs w:val="24"/>
              </w:rPr>
              <w:t>působem, který není v souladu s </w:t>
            </w:r>
            <w:r w:rsidRPr="005C6D55">
              <w:rPr>
                <w:rFonts w:ascii="Times New Roman" w:hAnsi="Times New Roman"/>
                <w:sz w:val="24"/>
                <w:szCs w:val="24"/>
              </w:rPr>
              <w:t>plány odpadového hospodářství.</w:t>
            </w:r>
          </w:p>
          <w:p w:rsidR="00107524" w:rsidRDefault="00107524" w:rsidP="007549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24" w:rsidRDefault="00107524" w:rsidP="00C34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Provozování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ZEVO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 za </w:t>
            </w:r>
            <w:r w:rsidR="005C6D55">
              <w:rPr>
                <w:rFonts w:ascii="Times New Roman" w:hAnsi="Times New Roman"/>
                <w:sz w:val="24"/>
                <w:szCs w:val="24"/>
              </w:rPr>
              <w:t xml:space="preserve">výše uvedených </w:t>
            </w:r>
            <w:r>
              <w:rPr>
                <w:rFonts w:ascii="Times New Roman" w:hAnsi="Times New Roman"/>
                <w:sz w:val="24"/>
                <w:szCs w:val="24"/>
              </w:rPr>
              <w:t>podmínek jeví jako snový business a stěží lze uvěřit, že v takovémto prostředí bude vše optimálně řízeno a</w:t>
            </w:r>
            <w:r w:rsidR="005C6D5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nedojde k navýšení korupčních rizik.</w:t>
            </w:r>
          </w:p>
          <w:p w:rsidR="00107524" w:rsidRDefault="00107524" w:rsidP="00C346B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524" w:rsidRDefault="00107524" w:rsidP="00C346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 návrhu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lze </w:t>
            </w:r>
            <w:r w:rsidR="005C6D55">
              <w:rPr>
                <w:rFonts w:ascii="Times New Roman" w:hAnsi="Times New Roman"/>
                <w:sz w:val="24"/>
                <w:szCs w:val="24"/>
              </w:rPr>
              <w:t>uvést</w:t>
            </w:r>
            <w:r>
              <w:rPr>
                <w:rFonts w:ascii="Times New Roman" w:hAnsi="Times New Roman"/>
                <w:sz w:val="24"/>
                <w:szCs w:val="24"/>
              </w:rPr>
              <w:t>, že k jeho praktickému naplňování bude vzhledem k plošnému dopadu navrhovaných opatření nezbytný zvýšený dohled nezávislých orgánů.</w:t>
            </w:r>
          </w:p>
          <w:p w:rsidR="00107524" w:rsidRPr="006E3A8F" w:rsidRDefault="00107524" w:rsidP="00C346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24" w:rsidRPr="006E3A8F" w:rsidTr="006E3A8F">
        <w:trPr>
          <w:trHeight w:val="284"/>
        </w:trPr>
        <w:tc>
          <w:tcPr>
            <w:tcW w:w="2660" w:type="dxa"/>
          </w:tcPr>
          <w:p w:rsidR="00107524" w:rsidRPr="006E3A8F" w:rsidRDefault="001075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107524" w:rsidRPr="006E3A8F" w:rsidRDefault="001075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3A8F">
              <w:rPr>
                <w:rFonts w:ascii="Times New Roman" w:hAnsi="Times New Roman"/>
                <w:b/>
                <w:sz w:val="24"/>
                <w:szCs w:val="24"/>
              </w:rPr>
              <w:t>KONKRÉTNÍ PŘIPOMÍNKA:</w:t>
            </w:r>
          </w:p>
        </w:tc>
      </w:tr>
      <w:tr w:rsidR="00107524" w:rsidRPr="006E3A8F" w:rsidTr="006E3A8F">
        <w:trPr>
          <w:trHeight w:val="1134"/>
        </w:trPr>
        <w:tc>
          <w:tcPr>
            <w:tcW w:w="2660" w:type="dxa"/>
          </w:tcPr>
          <w:p w:rsidR="00107524" w:rsidRPr="006E3A8F" w:rsidRDefault="00107524">
            <w:pPr>
              <w:rPr>
                <w:rFonts w:ascii="Times New Roman" w:hAnsi="Times New Roman"/>
                <w:sz w:val="24"/>
                <w:szCs w:val="24"/>
              </w:rPr>
            </w:pPr>
            <w:r w:rsidRPr="006E3A8F">
              <w:rPr>
                <w:rFonts w:ascii="Times New Roman" w:hAnsi="Times New Roman"/>
                <w:sz w:val="24"/>
                <w:szCs w:val="24"/>
              </w:rPr>
              <w:t>Zásadní ANO/NE</w:t>
            </w:r>
          </w:p>
        </w:tc>
        <w:tc>
          <w:tcPr>
            <w:tcW w:w="7688" w:type="dxa"/>
          </w:tcPr>
          <w:p w:rsidR="00107524" w:rsidRPr="006E3A8F" w:rsidRDefault="00107524" w:rsidP="00FA3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524" w:rsidRPr="006E3A8F" w:rsidTr="006E3A8F">
        <w:trPr>
          <w:trHeight w:val="1134"/>
        </w:trPr>
        <w:tc>
          <w:tcPr>
            <w:tcW w:w="2660" w:type="dxa"/>
          </w:tcPr>
          <w:p w:rsidR="00107524" w:rsidRPr="006E3A8F" w:rsidRDefault="00107524" w:rsidP="00D91E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8" w:type="dxa"/>
          </w:tcPr>
          <w:p w:rsidR="00107524" w:rsidRPr="006E3A8F" w:rsidRDefault="00107524" w:rsidP="00D91E3D">
            <w:pPr>
              <w:rPr>
                <w:rFonts w:ascii="Times New Roman" w:hAnsi="Times New Roman"/>
                <w:sz w:val="24"/>
                <w:szCs w:val="24"/>
              </w:rPr>
            </w:pPr>
            <w:r w:rsidRPr="006E3A8F">
              <w:rPr>
                <w:rFonts w:ascii="Times New Roman" w:hAnsi="Times New Roman"/>
                <w:sz w:val="24"/>
                <w:szCs w:val="24"/>
              </w:rPr>
              <w:t>Odůvodnění:</w:t>
            </w:r>
          </w:p>
        </w:tc>
      </w:tr>
    </w:tbl>
    <w:p w:rsidR="00B40EC9" w:rsidRDefault="00B40EC9" w:rsidP="00493533"/>
    <w:sectPr w:rsidR="00B40EC9" w:rsidSect="00B40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A777A"/>
    <w:multiLevelType w:val="hybridMultilevel"/>
    <w:tmpl w:val="CAB63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0F5B"/>
    <w:rsid w:val="0000748C"/>
    <w:rsid w:val="00030F5B"/>
    <w:rsid w:val="00102933"/>
    <w:rsid w:val="00107524"/>
    <w:rsid w:val="001E276E"/>
    <w:rsid w:val="00241F59"/>
    <w:rsid w:val="002515A5"/>
    <w:rsid w:val="00276473"/>
    <w:rsid w:val="002F792F"/>
    <w:rsid w:val="00302F26"/>
    <w:rsid w:val="00327821"/>
    <w:rsid w:val="00362847"/>
    <w:rsid w:val="0036606A"/>
    <w:rsid w:val="00376877"/>
    <w:rsid w:val="00383044"/>
    <w:rsid w:val="00385822"/>
    <w:rsid w:val="003D2579"/>
    <w:rsid w:val="003E26AC"/>
    <w:rsid w:val="00402E21"/>
    <w:rsid w:val="004238B4"/>
    <w:rsid w:val="004325EC"/>
    <w:rsid w:val="00493533"/>
    <w:rsid w:val="00503560"/>
    <w:rsid w:val="00535CAD"/>
    <w:rsid w:val="00552556"/>
    <w:rsid w:val="005664DD"/>
    <w:rsid w:val="005C6D55"/>
    <w:rsid w:val="00674FEE"/>
    <w:rsid w:val="00691289"/>
    <w:rsid w:val="006E3A8F"/>
    <w:rsid w:val="007069C5"/>
    <w:rsid w:val="00733CD6"/>
    <w:rsid w:val="007549D9"/>
    <w:rsid w:val="007775FC"/>
    <w:rsid w:val="007E58AF"/>
    <w:rsid w:val="0081645A"/>
    <w:rsid w:val="00837558"/>
    <w:rsid w:val="0085074D"/>
    <w:rsid w:val="00867D97"/>
    <w:rsid w:val="00871B8C"/>
    <w:rsid w:val="00873A04"/>
    <w:rsid w:val="008A52AE"/>
    <w:rsid w:val="008D27E7"/>
    <w:rsid w:val="008E140E"/>
    <w:rsid w:val="008F1D8D"/>
    <w:rsid w:val="00986FF0"/>
    <w:rsid w:val="009C3266"/>
    <w:rsid w:val="00A00B5B"/>
    <w:rsid w:val="00A0284F"/>
    <w:rsid w:val="00A4226D"/>
    <w:rsid w:val="00AC3D97"/>
    <w:rsid w:val="00AC6BB7"/>
    <w:rsid w:val="00AD4F46"/>
    <w:rsid w:val="00B40EC9"/>
    <w:rsid w:val="00B74108"/>
    <w:rsid w:val="00BA05C8"/>
    <w:rsid w:val="00C16795"/>
    <w:rsid w:val="00C346BD"/>
    <w:rsid w:val="00CB0622"/>
    <w:rsid w:val="00CD3D94"/>
    <w:rsid w:val="00CD4F83"/>
    <w:rsid w:val="00CE2836"/>
    <w:rsid w:val="00DD3281"/>
    <w:rsid w:val="00E15B76"/>
    <w:rsid w:val="00E22FF2"/>
    <w:rsid w:val="00E26016"/>
    <w:rsid w:val="00E40B12"/>
    <w:rsid w:val="00E5416C"/>
    <w:rsid w:val="00EB0B12"/>
    <w:rsid w:val="00EE4F03"/>
    <w:rsid w:val="00EF0643"/>
    <w:rsid w:val="00FA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C6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C6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E144D-3DF5-420F-AF41-926AD6A8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2</cp:revision>
  <dcterms:created xsi:type="dcterms:W3CDTF">2014-06-17T11:10:00Z</dcterms:created>
  <dcterms:modified xsi:type="dcterms:W3CDTF">2014-06-17T11:10:00Z</dcterms:modified>
</cp:coreProperties>
</file>