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0348" w:type="dxa"/>
        <w:tblInd w:w="-459" w:type="dxa"/>
        <w:tblLook w:val="04A0" w:firstRow="1" w:lastRow="0" w:firstColumn="1" w:lastColumn="0" w:noHBand="0" w:noVBand="1"/>
      </w:tblPr>
      <w:tblGrid>
        <w:gridCol w:w="2660"/>
        <w:gridCol w:w="7688"/>
      </w:tblGrid>
      <w:tr w:rsidR="00493533" w:rsidRPr="006E3A8F" w:rsidTr="006E3A8F">
        <w:trPr>
          <w:trHeight w:val="454"/>
        </w:trPr>
        <w:tc>
          <w:tcPr>
            <w:tcW w:w="2660" w:type="dxa"/>
          </w:tcPr>
          <w:p w:rsidR="00493533" w:rsidRPr="006E3A8F" w:rsidRDefault="00493533" w:rsidP="00AC6BB7">
            <w:pPr>
              <w:rPr>
                <w:rFonts w:ascii="Times New Roman" w:hAnsi="Times New Roman"/>
                <w:b/>
                <w:sz w:val="26"/>
                <w:szCs w:val="26"/>
              </w:rPr>
            </w:pPr>
            <w:bookmarkStart w:id="0" w:name="_GoBack"/>
            <w:bookmarkEnd w:id="0"/>
            <w:r w:rsidRPr="006E3A8F">
              <w:rPr>
                <w:rFonts w:ascii="Times New Roman" w:hAnsi="Times New Roman"/>
                <w:b/>
                <w:sz w:val="26"/>
                <w:szCs w:val="26"/>
              </w:rPr>
              <w:t>Název materiálu</w:t>
            </w:r>
          </w:p>
        </w:tc>
        <w:tc>
          <w:tcPr>
            <w:tcW w:w="7688" w:type="dxa"/>
          </w:tcPr>
          <w:p w:rsidR="00493533" w:rsidRPr="00B0639E" w:rsidRDefault="00B0639E">
            <w:pPr>
              <w:rPr>
                <w:rFonts w:ascii="Times New Roman" w:hAnsi="Times New Roman"/>
                <w:sz w:val="24"/>
                <w:szCs w:val="24"/>
              </w:rPr>
            </w:pPr>
            <w:r w:rsidRPr="00B0639E">
              <w:rPr>
                <w:rFonts w:ascii="Times New Roman" w:hAnsi="Times New Roman"/>
                <w:sz w:val="24"/>
                <w:szCs w:val="24"/>
              </w:rPr>
              <w:t>Operační program Podnikání a inovace pro konkurenceschopnost 2014 – 2020</w:t>
            </w:r>
          </w:p>
        </w:tc>
      </w:tr>
      <w:tr w:rsidR="00B0639E" w:rsidRPr="006E3A8F" w:rsidTr="006E3A8F">
        <w:trPr>
          <w:trHeight w:val="454"/>
        </w:trPr>
        <w:tc>
          <w:tcPr>
            <w:tcW w:w="2660" w:type="dxa"/>
          </w:tcPr>
          <w:p w:rsidR="00B0639E" w:rsidRPr="006E3A8F" w:rsidRDefault="00B0639E" w:rsidP="00AC6BB7">
            <w:pPr>
              <w:rPr>
                <w:rFonts w:ascii="Times New Roman" w:hAnsi="Times New Roman"/>
                <w:b/>
                <w:sz w:val="26"/>
                <w:szCs w:val="26"/>
              </w:rPr>
            </w:pPr>
            <w:r w:rsidRPr="006E3A8F">
              <w:rPr>
                <w:rFonts w:ascii="Times New Roman" w:hAnsi="Times New Roman"/>
                <w:b/>
                <w:sz w:val="26"/>
                <w:szCs w:val="26"/>
              </w:rPr>
              <w:t>Jméno</w:t>
            </w:r>
          </w:p>
        </w:tc>
        <w:tc>
          <w:tcPr>
            <w:tcW w:w="7688" w:type="dxa"/>
          </w:tcPr>
          <w:p w:rsidR="00B0639E" w:rsidRPr="00B0639E" w:rsidRDefault="00B0639E" w:rsidP="007D4C01">
            <w:pPr>
              <w:spacing w:after="200" w:line="276" w:lineRule="auto"/>
              <w:rPr>
                <w:rFonts w:ascii="Times New Roman" w:hAnsi="Times New Roman"/>
                <w:sz w:val="24"/>
                <w:szCs w:val="24"/>
              </w:rPr>
            </w:pPr>
            <w:r w:rsidRPr="00B0639E">
              <w:rPr>
                <w:rFonts w:ascii="Times New Roman" w:hAnsi="Times New Roman"/>
                <w:sz w:val="24"/>
                <w:szCs w:val="24"/>
              </w:rPr>
              <w:t>Český plynárenský svaz</w:t>
            </w:r>
          </w:p>
          <w:p w:rsidR="00B0639E" w:rsidRPr="00B0639E" w:rsidRDefault="00B0639E" w:rsidP="007D4C01">
            <w:pPr>
              <w:spacing w:after="200" w:line="276" w:lineRule="auto"/>
              <w:rPr>
                <w:rFonts w:ascii="Times New Roman" w:hAnsi="Times New Roman"/>
                <w:sz w:val="24"/>
                <w:szCs w:val="24"/>
              </w:rPr>
            </w:pPr>
            <w:r w:rsidRPr="00B0639E">
              <w:rPr>
                <w:rFonts w:ascii="Times New Roman" w:hAnsi="Times New Roman"/>
                <w:sz w:val="24"/>
                <w:szCs w:val="24"/>
              </w:rPr>
              <w:t>Ing. Jan Ruml</w:t>
            </w:r>
          </w:p>
        </w:tc>
      </w:tr>
      <w:tr w:rsidR="00B0639E" w:rsidRPr="006E3A8F" w:rsidTr="006E3A8F">
        <w:trPr>
          <w:trHeight w:val="454"/>
        </w:trPr>
        <w:tc>
          <w:tcPr>
            <w:tcW w:w="2660" w:type="dxa"/>
          </w:tcPr>
          <w:p w:rsidR="00B0639E" w:rsidRPr="006E3A8F" w:rsidRDefault="00B0639E" w:rsidP="00AC6BB7">
            <w:pPr>
              <w:rPr>
                <w:rFonts w:ascii="Times New Roman" w:hAnsi="Times New Roman"/>
                <w:b/>
                <w:sz w:val="26"/>
                <w:szCs w:val="26"/>
              </w:rPr>
            </w:pPr>
            <w:r w:rsidRPr="006E3A8F">
              <w:rPr>
                <w:rFonts w:ascii="Times New Roman" w:hAnsi="Times New Roman"/>
                <w:b/>
                <w:sz w:val="26"/>
                <w:szCs w:val="26"/>
              </w:rPr>
              <w:t>Telefon</w:t>
            </w:r>
          </w:p>
        </w:tc>
        <w:tc>
          <w:tcPr>
            <w:tcW w:w="7688" w:type="dxa"/>
          </w:tcPr>
          <w:p w:rsidR="00B0639E" w:rsidRPr="00B0639E" w:rsidRDefault="00B0639E" w:rsidP="00B0639E">
            <w:pPr>
              <w:spacing w:after="200" w:line="276" w:lineRule="auto"/>
              <w:rPr>
                <w:rFonts w:ascii="Times New Roman" w:hAnsi="Times New Roman"/>
                <w:sz w:val="24"/>
                <w:szCs w:val="24"/>
              </w:rPr>
            </w:pPr>
            <w:r w:rsidRPr="00B0639E">
              <w:rPr>
                <w:rFonts w:ascii="Times New Roman" w:hAnsi="Times New Roman"/>
                <w:sz w:val="24"/>
                <w:szCs w:val="24"/>
              </w:rPr>
              <w:t>+420 222 518 811</w:t>
            </w:r>
          </w:p>
        </w:tc>
      </w:tr>
      <w:tr w:rsidR="00B0639E" w:rsidRPr="006E3A8F" w:rsidTr="006E3A8F">
        <w:trPr>
          <w:trHeight w:val="454"/>
        </w:trPr>
        <w:tc>
          <w:tcPr>
            <w:tcW w:w="2660" w:type="dxa"/>
          </w:tcPr>
          <w:p w:rsidR="00B0639E" w:rsidRPr="006E3A8F" w:rsidRDefault="00B0639E" w:rsidP="00AC6BB7">
            <w:pPr>
              <w:rPr>
                <w:rFonts w:ascii="Times New Roman" w:hAnsi="Times New Roman"/>
                <w:b/>
                <w:sz w:val="26"/>
                <w:szCs w:val="26"/>
              </w:rPr>
            </w:pPr>
            <w:r w:rsidRPr="006E3A8F">
              <w:rPr>
                <w:rFonts w:ascii="Times New Roman" w:hAnsi="Times New Roman"/>
                <w:b/>
                <w:sz w:val="26"/>
                <w:szCs w:val="26"/>
              </w:rPr>
              <w:t>e-mail</w:t>
            </w:r>
          </w:p>
        </w:tc>
        <w:tc>
          <w:tcPr>
            <w:tcW w:w="7688" w:type="dxa"/>
          </w:tcPr>
          <w:p w:rsidR="00B0639E" w:rsidRPr="00B0639E" w:rsidRDefault="00B0639E" w:rsidP="007D4C01">
            <w:pPr>
              <w:spacing w:after="200" w:line="276" w:lineRule="auto"/>
              <w:rPr>
                <w:rFonts w:ascii="Times New Roman" w:hAnsi="Times New Roman"/>
                <w:sz w:val="24"/>
                <w:szCs w:val="24"/>
              </w:rPr>
            </w:pPr>
            <w:r w:rsidRPr="00B0639E">
              <w:rPr>
                <w:rFonts w:ascii="Times New Roman" w:hAnsi="Times New Roman"/>
                <w:sz w:val="24"/>
                <w:szCs w:val="24"/>
              </w:rPr>
              <w:t>jan.ruml@cgoa.cz</w:t>
            </w:r>
          </w:p>
        </w:tc>
      </w:tr>
      <w:tr w:rsidR="00B0639E" w:rsidRPr="006E3A8F" w:rsidTr="006E3A8F">
        <w:trPr>
          <w:trHeight w:val="284"/>
        </w:trPr>
        <w:tc>
          <w:tcPr>
            <w:tcW w:w="2660" w:type="dxa"/>
          </w:tcPr>
          <w:p w:rsidR="00B0639E" w:rsidRPr="006E3A8F" w:rsidRDefault="00B0639E">
            <w:pPr>
              <w:rPr>
                <w:rFonts w:ascii="Times New Roman" w:hAnsi="Times New Roman"/>
                <w:sz w:val="24"/>
                <w:szCs w:val="24"/>
              </w:rPr>
            </w:pPr>
          </w:p>
        </w:tc>
        <w:tc>
          <w:tcPr>
            <w:tcW w:w="7688" w:type="dxa"/>
          </w:tcPr>
          <w:p w:rsidR="00B0639E" w:rsidRPr="00B0639E" w:rsidRDefault="00B0639E">
            <w:pPr>
              <w:rPr>
                <w:rFonts w:ascii="Times New Roman" w:hAnsi="Times New Roman"/>
                <w:b/>
                <w:sz w:val="24"/>
                <w:szCs w:val="24"/>
              </w:rPr>
            </w:pPr>
            <w:r w:rsidRPr="00B0639E">
              <w:rPr>
                <w:rFonts w:ascii="Times New Roman" w:hAnsi="Times New Roman"/>
                <w:b/>
                <w:sz w:val="24"/>
                <w:szCs w:val="24"/>
              </w:rPr>
              <w:t>OBECNÁ PŘIPOMÍNKA:</w:t>
            </w:r>
          </w:p>
        </w:tc>
      </w:tr>
      <w:tr w:rsidR="00B0639E" w:rsidRPr="006E3A8F" w:rsidTr="006E3A8F">
        <w:trPr>
          <w:trHeight w:val="1134"/>
        </w:trPr>
        <w:tc>
          <w:tcPr>
            <w:tcW w:w="2660" w:type="dxa"/>
          </w:tcPr>
          <w:p w:rsidR="00B0639E" w:rsidRPr="006E3A8F" w:rsidRDefault="00B0639E">
            <w:pPr>
              <w:rPr>
                <w:rFonts w:ascii="Times New Roman" w:hAnsi="Times New Roman"/>
                <w:sz w:val="24"/>
                <w:szCs w:val="24"/>
              </w:rPr>
            </w:pPr>
          </w:p>
        </w:tc>
        <w:tc>
          <w:tcPr>
            <w:tcW w:w="7688" w:type="dxa"/>
          </w:tcPr>
          <w:p w:rsidR="00B0639E" w:rsidRPr="00B0639E" w:rsidRDefault="00B0639E">
            <w:pPr>
              <w:rPr>
                <w:rFonts w:ascii="Times New Roman" w:hAnsi="Times New Roman"/>
                <w:sz w:val="24"/>
                <w:szCs w:val="24"/>
              </w:rPr>
            </w:pPr>
            <w:r w:rsidRPr="00B0639E">
              <w:rPr>
                <w:rFonts w:ascii="Times New Roman" w:hAnsi="Times New Roman"/>
                <w:sz w:val="24"/>
                <w:szCs w:val="24"/>
              </w:rPr>
              <w:t>Z názvu OP Podnikání a inovace pro konkurenceschopnost 2014 – 2020 by šlo vyvodit, že hlavním posláním programu bude podpora zavádění takových opatření, která sice vyžadují vysokou prvotní investici, znamenající však následný (celospolečenský) přínos, převážně díky konkurenční výhodě. Nakonec i hlavní cíl programu: „.. dosažení konkurenceschopné a udržitelné ekonomiky založené na znalostech a inovacích.“ tomu napovídá. Upřesnění pojmu „konkurenceschopný“  - schopnost místních podniků prosazovat se na světových trzích a vytvářet dostatek pracovních míst a pojmu „udržitelný“ - zvýrazňující dlouhodobý horizont konkurenční schopnosti, což zahrnuje mj. i environmentální dimenzi hospodářského rozvoje, dává tomuto cíli globální měřítko.</w:t>
            </w:r>
          </w:p>
          <w:p w:rsidR="00B0639E" w:rsidRPr="00B0639E" w:rsidRDefault="00B0639E">
            <w:pPr>
              <w:rPr>
                <w:rFonts w:ascii="Times New Roman" w:hAnsi="Times New Roman"/>
                <w:sz w:val="24"/>
                <w:szCs w:val="24"/>
              </w:rPr>
            </w:pPr>
            <w:r w:rsidRPr="00B0639E">
              <w:rPr>
                <w:rFonts w:ascii="Times New Roman" w:hAnsi="Times New Roman"/>
                <w:sz w:val="24"/>
                <w:szCs w:val="24"/>
              </w:rPr>
              <w:t>Mnohé z podporovaných opatření výše uvedený cíl naplňují. Přinejmenším diskutabilní je však opatření zahrnuté do Prioritní osy 3 - Účinné nakládání energií, rozvoj energetické infrastruktury a obnovitelných zdrojů energie, podpora zavádění nových technologií v oblasti nakládání energií a druhotných surovin, Investiční priorita 5 - Podpora využívání vysoce účinné kombinované výroby tepla a elektřiny na základě poptávky po užitečném teple, Cíl: „Zvýšit účinnost soustav zásobování teplem“.</w:t>
            </w:r>
          </w:p>
          <w:p w:rsidR="00B0639E" w:rsidRPr="00B0639E" w:rsidRDefault="00B0639E" w:rsidP="00425528">
            <w:pPr>
              <w:rPr>
                <w:rFonts w:ascii="Times New Roman" w:hAnsi="Times New Roman"/>
                <w:sz w:val="24"/>
                <w:szCs w:val="24"/>
              </w:rPr>
            </w:pPr>
            <w:r w:rsidRPr="00B0639E">
              <w:rPr>
                <w:rFonts w:ascii="Times New Roman" w:hAnsi="Times New Roman"/>
                <w:sz w:val="24"/>
                <w:szCs w:val="24"/>
              </w:rPr>
              <w:t>Výhody kombinované výroby elektřiny a tepla jsou zřejmé. Totéž, za dodržení limitujících podmínek, platí i pro systémy centrálního zásobování tepelnou energií (CZT). Jejich podpora, pokud už tržní síly nedokáží tuto prospěšnost odhalit, je proto přijatelná.</w:t>
            </w:r>
          </w:p>
          <w:p w:rsidR="00B0639E" w:rsidRPr="00B0639E" w:rsidRDefault="00B0639E" w:rsidP="00425528">
            <w:pPr>
              <w:rPr>
                <w:rFonts w:ascii="Times New Roman" w:hAnsi="Times New Roman"/>
                <w:sz w:val="24"/>
                <w:szCs w:val="24"/>
              </w:rPr>
            </w:pPr>
            <w:r w:rsidRPr="00B0639E">
              <w:rPr>
                <w:rFonts w:ascii="Times New Roman" w:hAnsi="Times New Roman"/>
                <w:sz w:val="24"/>
                <w:szCs w:val="24"/>
              </w:rPr>
              <w:t>Přece jen se domníváme, že podpora aktivit jako jsou rekonstrukce a rozvoj soustav zásobování teplem, resp. rozvodných tepelných zařízení, by si zasloužila více selektivní přístup.</w:t>
            </w:r>
          </w:p>
          <w:p w:rsidR="00B0639E" w:rsidRPr="00B0639E" w:rsidRDefault="00B0639E" w:rsidP="00425528">
            <w:pPr>
              <w:rPr>
                <w:rFonts w:ascii="Times New Roman" w:hAnsi="Times New Roman"/>
                <w:sz w:val="24"/>
                <w:szCs w:val="24"/>
              </w:rPr>
            </w:pPr>
          </w:p>
          <w:p w:rsidR="00B0639E" w:rsidRPr="00B0639E" w:rsidRDefault="00B0639E" w:rsidP="00425528">
            <w:pPr>
              <w:rPr>
                <w:rFonts w:ascii="Times New Roman" w:hAnsi="Times New Roman"/>
                <w:sz w:val="24"/>
                <w:szCs w:val="24"/>
              </w:rPr>
            </w:pPr>
            <w:r w:rsidRPr="00B0639E">
              <w:rPr>
                <w:rFonts w:ascii="Times New Roman" w:hAnsi="Times New Roman"/>
                <w:sz w:val="24"/>
                <w:szCs w:val="24"/>
              </w:rPr>
              <w:t>Základní otázkou je jak rekonstrukce a rozvoj soustav zásobování teplem přispěje k hlavnímu i dílčím cílům OP.</w:t>
            </w:r>
          </w:p>
          <w:p w:rsidR="00B0639E" w:rsidRPr="00B0639E" w:rsidRDefault="00B0639E" w:rsidP="00425528">
            <w:pPr>
              <w:rPr>
                <w:rFonts w:ascii="Times New Roman" w:hAnsi="Times New Roman"/>
                <w:sz w:val="24"/>
                <w:szCs w:val="24"/>
              </w:rPr>
            </w:pPr>
            <w:r w:rsidRPr="00B0639E">
              <w:rPr>
                <w:rFonts w:ascii="Times New Roman" w:hAnsi="Times New Roman"/>
                <w:sz w:val="24"/>
                <w:szCs w:val="24"/>
              </w:rPr>
              <w:t>Soustavy CZT nebo teplárenství obecně slouží převážně pro zásobování teplem domácností (řada výjimek a úlev byla získána právě s poukazem na tuto sociální prospěšnost) a to na lokální úrovni, kde dodavatelem tepla do sítě je zpravidla jediný subjekt. Přičteme-li k tomu míru inovativnosti podporovaného opatření – obnova tepelné izolace trubních rozvodů, jedná se téměř o modelový příklad jak „rozumnou“ podporou dosáhnout vysoké konkurenceschopnosti české ekonomiky na místní i světové úrovni.</w:t>
            </w:r>
          </w:p>
          <w:p w:rsidR="00B0639E" w:rsidRPr="00B0639E" w:rsidRDefault="00B0639E" w:rsidP="00B3761F">
            <w:pPr>
              <w:rPr>
                <w:rFonts w:ascii="Times New Roman" w:hAnsi="Times New Roman"/>
                <w:sz w:val="24"/>
                <w:szCs w:val="24"/>
              </w:rPr>
            </w:pPr>
            <w:r w:rsidRPr="00B0639E">
              <w:rPr>
                <w:rFonts w:ascii="Times New Roman" w:hAnsi="Times New Roman"/>
                <w:sz w:val="24"/>
                <w:szCs w:val="24"/>
              </w:rPr>
              <w:t>Rekonstrukce soustav CZT je rovněž podporována z OP Životní prostředí, kam snad vzhledem ke svému milosrdnému charakteru hodí lépe. Lze tak jen doufat, že se s touto podporou, pro její naléhavost, nesetkáme i v OP Doprava.</w:t>
            </w:r>
          </w:p>
          <w:p w:rsidR="00B0639E" w:rsidRPr="00B0639E" w:rsidRDefault="00B0639E" w:rsidP="00425528">
            <w:pPr>
              <w:rPr>
                <w:rFonts w:ascii="Times New Roman" w:hAnsi="Times New Roman"/>
                <w:sz w:val="24"/>
                <w:szCs w:val="24"/>
              </w:rPr>
            </w:pPr>
          </w:p>
          <w:p w:rsidR="00B0639E" w:rsidRPr="00B0639E" w:rsidRDefault="00B0639E">
            <w:pPr>
              <w:rPr>
                <w:rFonts w:ascii="Times New Roman" w:hAnsi="Times New Roman"/>
                <w:sz w:val="24"/>
                <w:szCs w:val="24"/>
              </w:rPr>
            </w:pPr>
            <w:r w:rsidRPr="00B0639E">
              <w:rPr>
                <w:rFonts w:ascii="Times New Roman" w:hAnsi="Times New Roman"/>
                <w:sz w:val="24"/>
                <w:szCs w:val="24"/>
              </w:rPr>
              <w:t>Další otázkou je komu podporované patření přinese profit. Provozování soustav CZT je hlavní komerční aktivitou podnikatelských subjektů, provozovanou na základě licence na rozvod tepelné energie, udělené Energetickým regulačním úřadem (díky regulaci tedy i se zaručeným ziskem). Údržba a modernizace hlavního „výrobního prostředku“ by tedy měla být absolutní prioritou takového subjektu. Pokud podnikatel není tohoto schopen, jedná se buď o nesmyslné podnikání, nebo o rezignaci na péči o majetek a vědomé odklonění finančních prostředků na jiné účely. Je v takovém případě obhajitelná podpora rekonstrukce zanedbané soustavy CZT?</w:t>
            </w:r>
          </w:p>
          <w:p w:rsidR="00B0639E" w:rsidRPr="00B0639E" w:rsidRDefault="00B0639E">
            <w:pPr>
              <w:rPr>
                <w:rFonts w:ascii="Times New Roman" w:hAnsi="Times New Roman"/>
                <w:sz w:val="24"/>
                <w:szCs w:val="24"/>
              </w:rPr>
            </w:pPr>
          </w:p>
          <w:p w:rsidR="00B0639E" w:rsidRPr="00B0639E" w:rsidRDefault="00B0639E">
            <w:pPr>
              <w:rPr>
                <w:rFonts w:ascii="Times New Roman" w:hAnsi="Times New Roman"/>
                <w:sz w:val="24"/>
                <w:szCs w:val="24"/>
              </w:rPr>
            </w:pPr>
            <w:r w:rsidRPr="00B0639E">
              <w:rPr>
                <w:rFonts w:ascii="Times New Roman" w:hAnsi="Times New Roman"/>
                <w:sz w:val="24"/>
                <w:szCs w:val="24"/>
              </w:rPr>
              <w:t>Další je otázka diskriminace. V případě OP PIK (snad s výjimkou extrémních situací) asi opravdu není nutné v souvislosti s jednotlivými podporami zkoumat diskriminaci na základě pohlaví, rasového nebo etnického původu, náboženského vyznání nebo víry, zdravotního postižení, věku nebo sexuální orientace. Diskriminaci lze nalézt u přímo nebo potenciálně dotčených účastníků.</w:t>
            </w:r>
          </w:p>
          <w:p w:rsidR="00B0639E" w:rsidRPr="00B0639E" w:rsidRDefault="00B0639E">
            <w:pPr>
              <w:rPr>
                <w:rFonts w:ascii="Times New Roman" w:hAnsi="Times New Roman"/>
                <w:sz w:val="24"/>
                <w:szCs w:val="24"/>
              </w:rPr>
            </w:pPr>
            <w:r w:rsidRPr="00B0639E">
              <w:rPr>
                <w:rFonts w:ascii="Times New Roman" w:hAnsi="Times New Roman"/>
                <w:sz w:val="24"/>
                <w:szCs w:val="24"/>
              </w:rPr>
              <w:t>Z pohledu odběratele tepla je podstatné, pokud (v teoretickém případě stejně vysoké částky u dvou různých provozovatelů) v platbách za odebrané teplo platím řádnou údržbu rozvodných zařízení s dlouhodobou perspektivou fungování zařízení nebo ztráty v rozvodech s perspektivou kolapsu celé soustavy. Odběratel v prvním případě je na tom určit lépe a takto fungující systém by si zasloužil podporu. Tu však získá systém popsaný jako druhý.</w:t>
            </w:r>
          </w:p>
          <w:p w:rsidR="00B0639E" w:rsidRPr="00B0639E" w:rsidRDefault="00B0639E">
            <w:pPr>
              <w:rPr>
                <w:rFonts w:ascii="Times New Roman" w:hAnsi="Times New Roman"/>
                <w:sz w:val="24"/>
                <w:szCs w:val="24"/>
              </w:rPr>
            </w:pPr>
            <w:r w:rsidRPr="00B0639E">
              <w:rPr>
                <w:rFonts w:ascii="Times New Roman" w:hAnsi="Times New Roman"/>
                <w:sz w:val="24"/>
                <w:szCs w:val="24"/>
              </w:rPr>
              <w:t>Z pohledu zodpovědných provozovatelů investujících získané prostředky zpět do údržby oproti provozovatelům využívajícím získané prostředky na jiné účely a následně podpořených z veřejných prostředků.</w:t>
            </w:r>
          </w:p>
          <w:p w:rsidR="00B0639E" w:rsidRPr="00B0639E" w:rsidRDefault="00B0639E">
            <w:pPr>
              <w:rPr>
                <w:rFonts w:ascii="Times New Roman" w:hAnsi="Times New Roman"/>
                <w:sz w:val="24"/>
                <w:szCs w:val="24"/>
              </w:rPr>
            </w:pPr>
            <w:r w:rsidRPr="00B0639E">
              <w:rPr>
                <w:rFonts w:ascii="Times New Roman" w:hAnsi="Times New Roman"/>
                <w:sz w:val="24"/>
                <w:szCs w:val="24"/>
              </w:rPr>
              <w:t>Z pohledu konkurenčních dodavatelů energie, kteří musí fungovat v tvrdém konkurenčním prostředí a na podobné dotační podpory nemají nárok.</w:t>
            </w:r>
          </w:p>
          <w:p w:rsidR="00B0639E" w:rsidRPr="00B0639E" w:rsidRDefault="00B0639E">
            <w:pPr>
              <w:rPr>
                <w:rFonts w:ascii="Times New Roman" w:hAnsi="Times New Roman"/>
                <w:sz w:val="24"/>
                <w:szCs w:val="24"/>
              </w:rPr>
            </w:pPr>
          </w:p>
          <w:p w:rsidR="00B0639E" w:rsidRPr="00B0639E" w:rsidRDefault="00B0639E">
            <w:pPr>
              <w:rPr>
                <w:rFonts w:ascii="Times New Roman" w:hAnsi="Times New Roman"/>
                <w:sz w:val="24"/>
                <w:szCs w:val="24"/>
              </w:rPr>
            </w:pPr>
            <w:r w:rsidRPr="00B0639E">
              <w:rPr>
                <w:rFonts w:ascii="Times New Roman" w:hAnsi="Times New Roman"/>
                <w:sz w:val="24"/>
                <w:szCs w:val="24"/>
              </w:rPr>
              <w:t>Podpora tohoto opatření zaměstnanost nezvýší, konkurenceschopnost ČR v mezinárodním postavení neposílí, ekonomiku založenou na znalostech a inovacích nevytvoří, přínosy pro obyvatele budou pravděpodobně nulové. Jediným výsledkem bude promarněná příležitost k očištění celého teplárenského odvětví od neefektivních provozů, jejich zakonzervování a tím k dalšímu odsunutí řešení problému. Nádavkem pak prohloubení demotivace podnikatelů i jedinců, kteří o jimi spravované statky dbají s náležitou péčí, okořeněná (v ČR již tradičně) posměšky těch „schopnějších“.</w:t>
            </w:r>
          </w:p>
          <w:p w:rsidR="00B0639E" w:rsidRPr="00B0639E" w:rsidRDefault="00B0639E">
            <w:pPr>
              <w:rPr>
                <w:rFonts w:ascii="Times New Roman" w:hAnsi="Times New Roman"/>
                <w:sz w:val="24"/>
                <w:szCs w:val="24"/>
              </w:rPr>
            </w:pPr>
          </w:p>
          <w:p w:rsidR="00B0639E" w:rsidRPr="00B0639E" w:rsidRDefault="00B0639E">
            <w:pPr>
              <w:rPr>
                <w:rFonts w:ascii="Times New Roman" w:hAnsi="Times New Roman"/>
                <w:sz w:val="24"/>
                <w:szCs w:val="24"/>
              </w:rPr>
            </w:pPr>
            <w:r w:rsidRPr="00B0639E">
              <w:rPr>
                <w:rFonts w:ascii="Times New Roman" w:hAnsi="Times New Roman"/>
                <w:sz w:val="24"/>
                <w:szCs w:val="24"/>
              </w:rPr>
              <w:t>V případě soustav CZT je na zvážení zda by naopak neměla být posílena konkurence možností vstupu nezávislých dodavatelů tepla do sítě, podpořena varianta řízeného rozpadu sítě na menší uzly v případě ekonomického opodstatnění, posílena možnost dohledu nad správou zařízení ze strany uživatelů sítě, zahrnutí podpory do regulace cen tepla a její promítnutí na konečné spotřebitele apod.</w:t>
            </w:r>
          </w:p>
          <w:p w:rsidR="00B0639E" w:rsidRPr="00B0639E" w:rsidRDefault="00B0639E">
            <w:pPr>
              <w:rPr>
                <w:rFonts w:ascii="Times New Roman" w:hAnsi="Times New Roman"/>
                <w:sz w:val="24"/>
                <w:szCs w:val="24"/>
              </w:rPr>
            </w:pPr>
          </w:p>
          <w:p w:rsidR="00B0639E" w:rsidRPr="00B0639E" w:rsidRDefault="00B0639E">
            <w:pPr>
              <w:rPr>
                <w:rFonts w:ascii="Times New Roman" w:hAnsi="Times New Roman"/>
                <w:sz w:val="24"/>
                <w:szCs w:val="24"/>
              </w:rPr>
            </w:pPr>
          </w:p>
          <w:p w:rsidR="00B0639E" w:rsidRPr="00B0639E" w:rsidRDefault="00B0639E" w:rsidP="00B0639E">
            <w:pPr>
              <w:rPr>
                <w:rFonts w:ascii="Times New Roman" w:hAnsi="Times New Roman"/>
                <w:sz w:val="24"/>
                <w:szCs w:val="24"/>
              </w:rPr>
            </w:pPr>
            <w:r w:rsidRPr="00B0639E">
              <w:rPr>
                <w:rFonts w:ascii="Times New Roman" w:hAnsi="Times New Roman"/>
                <w:sz w:val="24"/>
                <w:szCs w:val="24"/>
              </w:rPr>
              <w:t>Materiál trpí nepřehledným číslováním odstavců.</w:t>
            </w:r>
          </w:p>
        </w:tc>
      </w:tr>
      <w:tr w:rsidR="00B0639E" w:rsidRPr="006E3A8F" w:rsidTr="006E3A8F">
        <w:trPr>
          <w:trHeight w:val="284"/>
        </w:trPr>
        <w:tc>
          <w:tcPr>
            <w:tcW w:w="2660" w:type="dxa"/>
          </w:tcPr>
          <w:p w:rsidR="00B0639E" w:rsidRPr="006E3A8F" w:rsidRDefault="00B0639E">
            <w:pPr>
              <w:rPr>
                <w:rFonts w:ascii="Times New Roman" w:hAnsi="Times New Roman"/>
                <w:sz w:val="24"/>
                <w:szCs w:val="24"/>
              </w:rPr>
            </w:pPr>
          </w:p>
        </w:tc>
        <w:tc>
          <w:tcPr>
            <w:tcW w:w="7688" w:type="dxa"/>
          </w:tcPr>
          <w:p w:rsidR="00B0639E" w:rsidRPr="006E3A8F" w:rsidRDefault="00B0639E">
            <w:pPr>
              <w:rPr>
                <w:rFonts w:ascii="Times New Roman" w:hAnsi="Times New Roman"/>
                <w:b/>
                <w:sz w:val="24"/>
                <w:szCs w:val="24"/>
              </w:rPr>
            </w:pPr>
            <w:r w:rsidRPr="006E3A8F">
              <w:rPr>
                <w:rFonts w:ascii="Times New Roman" w:hAnsi="Times New Roman"/>
                <w:b/>
                <w:sz w:val="24"/>
                <w:szCs w:val="24"/>
              </w:rPr>
              <w:t>KONKRÉTNÍ PŘIPOMÍNKA:</w:t>
            </w:r>
          </w:p>
        </w:tc>
      </w:tr>
      <w:tr w:rsidR="00B0639E" w:rsidRPr="006E3A8F" w:rsidTr="006E3A8F">
        <w:trPr>
          <w:trHeight w:val="1134"/>
        </w:trPr>
        <w:tc>
          <w:tcPr>
            <w:tcW w:w="2660" w:type="dxa"/>
          </w:tcPr>
          <w:p w:rsidR="00B0639E" w:rsidRPr="006E3A8F" w:rsidRDefault="00B0639E">
            <w:pPr>
              <w:rPr>
                <w:rFonts w:ascii="Times New Roman" w:hAnsi="Times New Roman"/>
                <w:sz w:val="24"/>
                <w:szCs w:val="24"/>
              </w:rPr>
            </w:pPr>
            <w:r w:rsidRPr="006E3A8F">
              <w:rPr>
                <w:rFonts w:ascii="Times New Roman" w:hAnsi="Times New Roman"/>
                <w:sz w:val="24"/>
                <w:szCs w:val="24"/>
              </w:rPr>
              <w:lastRenderedPageBreak/>
              <w:t>Zásadní ANO</w:t>
            </w:r>
            <w:r w:rsidRPr="00B0639E">
              <w:rPr>
                <w:rFonts w:ascii="Times New Roman" w:hAnsi="Times New Roman"/>
                <w:strike/>
                <w:sz w:val="24"/>
                <w:szCs w:val="24"/>
              </w:rPr>
              <w:t>/NE</w:t>
            </w:r>
          </w:p>
        </w:tc>
        <w:tc>
          <w:tcPr>
            <w:tcW w:w="7688" w:type="dxa"/>
          </w:tcPr>
          <w:p w:rsidR="00B0639E" w:rsidRDefault="00B0639E" w:rsidP="00B0639E">
            <w:pPr>
              <w:rPr>
                <w:rFonts w:ascii="Times New Roman" w:hAnsi="Times New Roman"/>
                <w:sz w:val="24"/>
                <w:szCs w:val="24"/>
              </w:rPr>
            </w:pPr>
            <w:r>
              <w:rPr>
                <w:rFonts w:ascii="Times New Roman" w:hAnsi="Times New Roman"/>
                <w:sz w:val="24"/>
                <w:szCs w:val="24"/>
              </w:rPr>
              <w:t xml:space="preserve">navrhujeme rozšířit </w:t>
            </w:r>
            <w:r w:rsidRPr="00B0639E">
              <w:rPr>
                <w:rFonts w:ascii="Times New Roman" w:hAnsi="Times New Roman"/>
                <w:sz w:val="24"/>
                <w:szCs w:val="24"/>
              </w:rPr>
              <w:t>I</w:t>
            </w:r>
            <w:r>
              <w:rPr>
                <w:rFonts w:ascii="Times New Roman" w:hAnsi="Times New Roman"/>
                <w:sz w:val="24"/>
                <w:szCs w:val="24"/>
              </w:rPr>
              <w:t xml:space="preserve">nvestiční prioritu </w:t>
            </w:r>
            <w:r w:rsidRPr="00B0639E">
              <w:rPr>
                <w:rFonts w:ascii="Times New Roman" w:hAnsi="Times New Roman"/>
                <w:sz w:val="24"/>
                <w:szCs w:val="24"/>
              </w:rPr>
              <w:t>4 prioritní osy 3: Podpora výzkumu a inovací a zavádění nízkouhlíkových technologií</w:t>
            </w:r>
            <w:r>
              <w:rPr>
                <w:rFonts w:ascii="Times New Roman" w:hAnsi="Times New Roman"/>
                <w:sz w:val="24"/>
                <w:szCs w:val="24"/>
              </w:rPr>
              <w:t>, Specifický cíl</w:t>
            </w:r>
            <w:r w:rsidRPr="00B0639E">
              <w:rPr>
                <w:rFonts w:ascii="Times New Roman" w:hAnsi="Times New Roman"/>
                <w:sz w:val="24"/>
                <w:szCs w:val="24"/>
              </w:rPr>
              <w:t>: Uplatnit ve větší míře nízkouhlíkové technologie v oblasti nakládání energií a při využívání druhotných surovin</w:t>
            </w:r>
            <w:r>
              <w:rPr>
                <w:rFonts w:ascii="Times New Roman" w:hAnsi="Times New Roman"/>
                <w:sz w:val="24"/>
                <w:szCs w:val="24"/>
              </w:rPr>
              <w:t xml:space="preserve"> o podporovanou aktivitu:</w:t>
            </w:r>
          </w:p>
          <w:p w:rsidR="00B0639E" w:rsidRDefault="00B0639E" w:rsidP="00B0639E">
            <w:pPr>
              <w:rPr>
                <w:rFonts w:ascii="Times New Roman" w:hAnsi="Times New Roman"/>
                <w:sz w:val="24"/>
                <w:szCs w:val="24"/>
              </w:rPr>
            </w:pPr>
            <w:r w:rsidRPr="00B0639E">
              <w:rPr>
                <w:rFonts w:ascii="Times New Roman" w:hAnsi="Times New Roman"/>
                <w:sz w:val="24"/>
                <w:szCs w:val="24"/>
              </w:rPr>
              <w:t>•</w:t>
            </w:r>
            <w:r w:rsidRPr="00B0639E">
              <w:rPr>
                <w:rFonts w:ascii="Times New Roman" w:hAnsi="Times New Roman"/>
                <w:sz w:val="24"/>
                <w:szCs w:val="24"/>
              </w:rPr>
              <w:tab/>
              <w:t>Zavádění inovativních nízkouhlíkových technologií v oblasti nízkouhlíkové dopravy (elektromobilita silničních vozidel</w:t>
            </w:r>
            <w:r>
              <w:rPr>
                <w:rFonts w:ascii="Times New Roman" w:hAnsi="Times New Roman"/>
                <w:sz w:val="24"/>
                <w:szCs w:val="24"/>
              </w:rPr>
              <w:t xml:space="preserve">, </w:t>
            </w:r>
            <w:r w:rsidRPr="00B0639E">
              <w:rPr>
                <w:rFonts w:ascii="Times New Roman" w:hAnsi="Times New Roman"/>
                <w:b/>
                <w:sz w:val="24"/>
                <w:szCs w:val="24"/>
              </w:rPr>
              <w:t>silniční vozidla na CNG</w:t>
            </w:r>
            <w:r w:rsidRPr="00B0639E">
              <w:rPr>
                <w:rFonts w:ascii="Times New Roman" w:hAnsi="Times New Roman"/>
                <w:sz w:val="24"/>
                <w:szCs w:val="24"/>
              </w:rPr>
              <w:t>)</w:t>
            </w:r>
            <w:r>
              <w:rPr>
                <w:rFonts w:ascii="Times New Roman" w:hAnsi="Times New Roman"/>
                <w:sz w:val="24"/>
                <w:szCs w:val="24"/>
              </w:rPr>
              <w:t>.</w:t>
            </w:r>
          </w:p>
          <w:p w:rsidR="00B0639E" w:rsidRDefault="00B0639E" w:rsidP="00B0639E">
            <w:pPr>
              <w:rPr>
                <w:rFonts w:ascii="Times New Roman" w:hAnsi="Times New Roman"/>
                <w:sz w:val="24"/>
                <w:szCs w:val="24"/>
              </w:rPr>
            </w:pPr>
          </w:p>
          <w:p w:rsidR="00B0639E" w:rsidRPr="006E3A8F" w:rsidRDefault="00B0639E" w:rsidP="00B0639E">
            <w:pPr>
              <w:rPr>
                <w:rFonts w:ascii="Times New Roman" w:hAnsi="Times New Roman"/>
                <w:sz w:val="24"/>
                <w:szCs w:val="24"/>
              </w:rPr>
            </w:pPr>
            <w:r w:rsidRPr="00B0639E">
              <w:rPr>
                <w:rFonts w:ascii="Times New Roman" w:hAnsi="Times New Roman"/>
                <w:sz w:val="24"/>
                <w:szCs w:val="24"/>
              </w:rPr>
              <w:t xml:space="preserve">Typovým projektem v oblasti zavádění nízkouhlíkové dopravy budou pilotní projekty zaměřené na zavádění elektromobility </w:t>
            </w:r>
            <w:r w:rsidRPr="00B0639E">
              <w:rPr>
                <w:rFonts w:ascii="Times New Roman" w:hAnsi="Times New Roman"/>
                <w:b/>
                <w:sz w:val="24"/>
                <w:szCs w:val="24"/>
              </w:rPr>
              <w:t>a vozidel CNG</w:t>
            </w:r>
            <w:r>
              <w:rPr>
                <w:rFonts w:ascii="Times New Roman" w:hAnsi="Times New Roman"/>
                <w:sz w:val="24"/>
                <w:szCs w:val="24"/>
              </w:rPr>
              <w:t xml:space="preserve"> </w:t>
            </w:r>
            <w:r w:rsidRPr="00B0639E">
              <w:rPr>
                <w:rFonts w:ascii="Times New Roman" w:hAnsi="Times New Roman"/>
                <w:sz w:val="24"/>
                <w:szCs w:val="24"/>
              </w:rPr>
              <w:t xml:space="preserve">pro podnikatelské subjekty, </w:t>
            </w:r>
            <w:r w:rsidRPr="00B0639E">
              <w:rPr>
                <w:rFonts w:ascii="Times New Roman" w:hAnsi="Times New Roman"/>
                <w:b/>
                <w:sz w:val="24"/>
                <w:szCs w:val="24"/>
              </w:rPr>
              <w:t>systémy hromadné dopravy apod.</w:t>
            </w:r>
            <w:r>
              <w:rPr>
                <w:rFonts w:ascii="Times New Roman" w:hAnsi="Times New Roman"/>
                <w:sz w:val="24"/>
                <w:szCs w:val="24"/>
              </w:rPr>
              <w:t xml:space="preserve"> </w:t>
            </w:r>
            <w:r w:rsidRPr="00B0639E">
              <w:rPr>
                <w:rFonts w:ascii="Times New Roman" w:hAnsi="Times New Roman"/>
                <w:sz w:val="24"/>
                <w:szCs w:val="24"/>
              </w:rPr>
              <w:t xml:space="preserve">tak aby nedošlo k překryvům s OP Doprava a OP Životní prostředí (blíže viz oddíl 8, resp. příloha č. 2). Způsobilé výdaje budou vynakládány na pořízení souvisejících technologií, dobíjecích </w:t>
            </w:r>
            <w:r w:rsidRPr="00B0639E">
              <w:rPr>
                <w:rFonts w:ascii="Times New Roman" w:hAnsi="Times New Roman"/>
                <w:b/>
                <w:sz w:val="24"/>
                <w:szCs w:val="24"/>
              </w:rPr>
              <w:t>a plnících</w:t>
            </w:r>
            <w:r>
              <w:rPr>
                <w:rFonts w:ascii="Times New Roman" w:hAnsi="Times New Roman"/>
                <w:sz w:val="24"/>
                <w:szCs w:val="24"/>
              </w:rPr>
              <w:t xml:space="preserve"> </w:t>
            </w:r>
            <w:r w:rsidRPr="00B0639E">
              <w:rPr>
                <w:rFonts w:ascii="Times New Roman" w:hAnsi="Times New Roman"/>
                <w:sz w:val="24"/>
                <w:szCs w:val="24"/>
              </w:rPr>
              <w:t>stanic případně na možnost úhrady/příspěvku části kupní ceny elektromobilu</w:t>
            </w:r>
            <w:r>
              <w:rPr>
                <w:rFonts w:ascii="Times New Roman" w:hAnsi="Times New Roman"/>
                <w:sz w:val="24"/>
                <w:szCs w:val="24"/>
              </w:rPr>
              <w:t xml:space="preserve"> / </w:t>
            </w:r>
            <w:r w:rsidRPr="00B0639E">
              <w:rPr>
                <w:rFonts w:ascii="Times New Roman" w:hAnsi="Times New Roman"/>
                <w:b/>
                <w:sz w:val="24"/>
                <w:szCs w:val="24"/>
              </w:rPr>
              <w:t>vozidla CNG</w:t>
            </w:r>
            <w:r w:rsidRPr="00B0639E">
              <w:rPr>
                <w:rFonts w:ascii="Times New Roman" w:hAnsi="Times New Roman"/>
                <w:sz w:val="24"/>
                <w:szCs w:val="24"/>
              </w:rPr>
              <w:t xml:space="preserve">, která přesahuje průměrnou cenu automobilů se spalovacím motorem. Výstupem projektu bude dostupnost území, ve kterém bude instalována základní infrastruktura pro elektromobilitu </w:t>
            </w:r>
            <w:r w:rsidRPr="00B0639E">
              <w:rPr>
                <w:rFonts w:ascii="Times New Roman" w:hAnsi="Times New Roman"/>
                <w:b/>
                <w:sz w:val="24"/>
                <w:szCs w:val="24"/>
              </w:rPr>
              <w:t>a vozidla CNG</w:t>
            </w:r>
            <w:r>
              <w:rPr>
                <w:rFonts w:ascii="Times New Roman" w:hAnsi="Times New Roman"/>
                <w:sz w:val="24"/>
                <w:szCs w:val="24"/>
              </w:rPr>
              <w:t xml:space="preserve"> </w:t>
            </w:r>
            <w:r w:rsidRPr="00B0639E">
              <w:rPr>
                <w:rFonts w:ascii="Times New Roman" w:hAnsi="Times New Roman"/>
                <w:sz w:val="24"/>
                <w:szCs w:val="24"/>
              </w:rPr>
              <w:t>a pořízení dopravních prostředků, jehož výsledky se promítnou v realizovaném procesu zavádění elektromobility</w:t>
            </w:r>
            <w:r>
              <w:rPr>
                <w:rFonts w:ascii="Times New Roman" w:hAnsi="Times New Roman"/>
                <w:sz w:val="24"/>
                <w:szCs w:val="24"/>
              </w:rPr>
              <w:t xml:space="preserve"> </w:t>
            </w:r>
            <w:r w:rsidRPr="00B0639E">
              <w:rPr>
                <w:rFonts w:ascii="Times New Roman" w:hAnsi="Times New Roman"/>
                <w:b/>
                <w:sz w:val="24"/>
                <w:szCs w:val="24"/>
              </w:rPr>
              <w:t>a rozvoje užití CNG v dopravě</w:t>
            </w:r>
            <w:r w:rsidRPr="00B0639E">
              <w:rPr>
                <w:rFonts w:ascii="Times New Roman" w:hAnsi="Times New Roman"/>
                <w:sz w:val="24"/>
                <w:szCs w:val="24"/>
              </w:rPr>
              <w:t>.</w:t>
            </w:r>
          </w:p>
        </w:tc>
      </w:tr>
      <w:tr w:rsidR="00B0639E" w:rsidRPr="006E3A8F" w:rsidTr="006E3A8F">
        <w:trPr>
          <w:trHeight w:val="1134"/>
        </w:trPr>
        <w:tc>
          <w:tcPr>
            <w:tcW w:w="2660" w:type="dxa"/>
          </w:tcPr>
          <w:p w:rsidR="00B0639E" w:rsidRPr="006E3A8F" w:rsidRDefault="00B0639E" w:rsidP="00D91E3D">
            <w:pPr>
              <w:rPr>
                <w:rFonts w:ascii="Times New Roman" w:hAnsi="Times New Roman"/>
                <w:sz w:val="24"/>
                <w:szCs w:val="24"/>
              </w:rPr>
            </w:pPr>
          </w:p>
        </w:tc>
        <w:tc>
          <w:tcPr>
            <w:tcW w:w="7688" w:type="dxa"/>
          </w:tcPr>
          <w:p w:rsidR="00B0639E" w:rsidRPr="006E3A8F" w:rsidRDefault="00B0639E" w:rsidP="00B0639E">
            <w:pPr>
              <w:rPr>
                <w:rFonts w:ascii="Times New Roman" w:hAnsi="Times New Roman"/>
                <w:sz w:val="24"/>
                <w:szCs w:val="24"/>
              </w:rPr>
            </w:pPr>
            <w:r w:rsidRPr="006E3A8F">
              <w:rPr>
                <w:rFonts w:ascii="Times New Roman" w:hAnsi="Times New Roman"/>
                <w:sz w:val="24"/>
                <w:szCs w:val="24"/>
              </w:rPr>
              <w:t>Odůvodnění:</w:t>
            </w:r>
            <w:r>
              <w:rPr>
                <w:rFonts w:ascii="Times New Roman" w:hAnsi="Times New Roman"/>
                <w:sz w:val="24"/>
                <w:szCs w:val="24"/>
              </w:rPr>
              <w:t xml:space="preserve"> Rozvoj CNG je podporován na evropské úrovni řadou strategických materiálů. Užití CNG pro pohon vozidel má příznivé environmentální dopady – nižší obsah skleníkových plynů, emise s nižším dopadem na zdraví obyvatel. Pozitivní je i nepřímé snížení spotřeby pohonných hmot (obtížná manipulace s palivem), nižší opotřebení pohonných jednotek, delší interval výměny oleje. Přímou vazbu na konkurenceschopnost ČR díky vývoji a výrobě osobních vozů, autobusů a komponent pro užití CNG v ČR rozšiřující exportní možnosti ČR o specifický produkt, konkurenceschopný na mezinárodních trzích.</w:t>
            </w:r>
          </w:p>
        </w:tc>
      </w:tr>
    </w:tbl>
    <w:p w:rsidR="00B40EC9" w:rsidRDefault="00B40EC9" w:rsidP="00493533"/>
    <w:sectPr w:rsidR="00B40EC9" w:rsidSect="00B40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Corbel"/>
    <w:charset w:val="EE"/>
    <w:family w:val="swiss"/>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5B"/>
    <w:rsid w:val="0000748C"/>
    <w:rsid w:val="00030F5B"/>
    <w:rsid w:val="000473FF"/>
    <w:rsid w:val="00063F3A"/>
    <w:rsid w:val="00102933"/>
    <w:rsid w:val="001E276E"/>
    <w:rsid w:val="00241F59"/>
    <w:rsid w:val="002515A5"/>
    <w:rsid w:val="00276473"/>
    <w:rsid w:val="002F792F"/>
    <w:rsid w:val="00302F26"/>
    <w:rsid w:val="00376877"/>
    <w:rsid w:val="00383044"/>
    <w:rsid w:val="00385822"/>
    <w:rsid w:val="003E26AC"/>
    <w:rsid w:val="00402E21"/>
    <w:rsid w:val="004238B4"/>
    <w:rsid w:val="00425528"/>
    <w:rsid w:val="004325EC"/>
    <w:rsid w:val="00493533"/>
    <w:rsid w:val="00503560"/>
    <w:rsid w:val="00535CAD"/>
    <w:rsid w:val="005411FC"/>
    <w:rsid w:val="00552556"/>
    <w:rsid w:val="005664DD"/>
    <w:rsid w:val="00674FEE"/>
    <w:rsid w:val="00691289"/>
    <w:rsid w:val="006E3A8F"/>
    <w:rsid w:val="007069C5"/>
    <w:rsid w:val="007E58AF"/>
    <w:rsid w:val="0081645A"/>
    <w:rsid w:val="00837558"/>
    <w:rsid w:val="0085074D"/>
    <w:rsid w:val="00867D97"/>
    <w:rsid w:val="00873A04"/>
    <w:rsid w:val="00897D56"/>
    <w:rsid w:val="008A52AE"/>
    <w:rsid w:val="008D27E7"/>
    <w:rsid w:val="008E140E"/>
    <w:rsid w:val="008F1D8D"/>
    <w:rsid w:val="0090679E"/>
    <w:rsid w:val="00A0284F"/>
    <w:rsid w:val="00AB1B94"/>
    <w:rsid w:val="00AC3D97"/>
    <w:rsid w:val="00AC6BB7"/>
    <w:rsid w:val="00AD4F46"/>
    <w:rsid w:val="00B0639E"/>
    <w:rsid w:val="00B3761F"/>
    <w:rsid w:val="00B40EC9"/>
    <w:rsid w:val="00B74108"/>
    <w:rsid w:val="00BA05C8"/>
    <w:rsid w:val="00C16795"/>
    <w:rsid w:val="00C32526"/>
    <w:rsid w:val="00CE2836"/>
    <w:rsid w:val="00DD3281"/>
    <w:rsid w:val="00E15B76"/>
    <w:rsid w:val="00E26016"/>
    <w:rsid w:val="00EB0B12"/>
    <w:rsid w:val="00EE4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6302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Roman</cp:lastModifiedBy>
  <cp:revision>2</cp:revision>
  <dcterms:created xsi:type="dcterms:W3CDTF">2014-05-20T18:22:00Z</dcterms:created>
  <dcterms:modified xsi:type="dcterms:W3CDTF">2014-05-20T18:22:00Z</dcterms:modified>
</cp:coreProperties>
</file>