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F" w:rsidRDefault="002D030F" w:rsidP="005D427C">
      <w:pPr>
        <w:spacing w:after="0" w:line="240" w:lineRule="auto"/>
        <w:jc w:val="both"/>
        <w:rPr>
          <w:b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b/>
          <w:sz w:val="28"/>
          <w:szCs w:val="28"/>
        </w:rPr>
      </w:pPr>
    </w:p>
    <w:p w:rsidR="002D030F" w:rsidRPr="00AF03F3" w:rsidRDefault="00363282" w:rsidP="003225A1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F03F3">
        <w:rPr>
          <w:b/>
          <w:sz w:val="32"/>
          <w:szCs w:val="32"/>
        </w:rPr>
        <w:t>Stanovisko</w:t>
      </w:r>
      <w:r w:rsidR="005D427C">
        <w:rPr>
          <w:b/>
          <w:sz w:val="32"/>
          <w:szCs w:val="32"/>
        </w:rPr>
        <w:br/>
      </w:r>
      <w:r w:rsidRPr="00AF03F3">
        <w:rPr>
          <w:b/>
          <w:sz w:val="32"/>
          <w:szCs w:val="32"/>
        </w:rPr>
        <w:t xml:space="preserve">k návrhu </w:t>
      </w:r>
      <w:r w:rsidR="002D030F" w:rsidRPr="00AF03F3">
        <w:rPr>
          <w:b/>
          <w:sz w:val="32"/>
          <w:szCs w:val="32"/>
        </w:rPr>
        <w:t>Národního akčního plánu energetické účinnosti ČR</w:t>
      </w:r>
    </w:p>
    <w:p w:rsidR="004A6E7C" w:rsidRPr="00AF03F3" w:rsidRDefault="004A6E7C" w:rsidP="005D427C">
      <w:pPr>
        <w:spacing w:after="0" w:line="240" w:lineRule="auto"/>
        <w:jc w:val="both"/>
        <w:rPr>
          <w:b/>
          <w:sz w:val="32"/>
          <w:szCs w:val="32"/>
        </w:rPr>
      </w:pPr>
    </w:p>
    <w:p w:rsidR="002D030F" w:rsidRPr="00AF03F3" w:rsidRDefault="002D030F" w:rsidP="005D427C">
      <w:pPr>
        <w:spacing w:after="0" w:line="240" w:lineRule="auto"/>
        <w:jc w:val="both"/>
        <w:rPr>
          <w:b/>
          <w:sz w:val="32"/>
          <w:szCs w:val="32"/>
        </w:rPr>
      </w:pPr>
    </w:p>
    <w:p w:rsidR="002D030F" w:rsidRP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Návrh p</w:t>
      </w:r>
      <w:r w:rsidRPr="002D030F">
        <w:rPr>
          <w:iCs/>
          <w:sz w:val="28"/>
          <w:szCs w:val="28"/>
        </w:rPr>
        <w:t>lán</w:t>
      </w:r>
      <w:r>
        <w:rPr>
          <w:iCs/>
          <w:sz w:val="28"/>
          <w:szCs w:val="28"/>
        </w:rPr>
        <w:t>u</w:t>
      </w:r>
      <w:r w:rsidRPr="002D030F">
        <w:rPr>
          <w:iCs/>
          <w:sz w:val="28"/>
          <w:szCs w:val="28"/>
        </w:rPr>
        <w:t xml:space="preserve"> byl zpracován dle směrnice 2012/27/EU</w:t>
      </w:r>
      <w:r w:rsidR="00A7013D">
        <w:rPr>
          <w:iCs/>
          <w:sz w:val="28"/>
          <w:szCs w:val="28"/>
        </w:rPr>
        <w:t xml:space="preserve"> o energetické účinnosti</w:t>
      </w:r>
      <w:r w:rsidRPr="002D030F">
        <w:rPr>
          <w:iCs/>
          <w:sz w:val="28"/>
          <w:szCs w:val="28"/>
        </w:rPr>
        <w:t>. Východiskem pro nastavení orientačního vnitrostátního cíle ČR v oblasti energetické účinnosti je Aktualizace Státní energetické koncepce ČR, která byla vzata na vědomí vládou dne 8. listopadu 2012</w:t>
      </w:r>
      <w:r w:rsidR="00A7013D">
        <w:rPr>
          <w:iCs/>
          <w:sz w:val="28"/>
          <w:szCs w:val="28"/>
        </w:rPr>
        <w:t xml:space="preserve">. </w:t>
      </w:r>
      <w:r w:rsidRPr="002D030F">
        <w:rPr>
          <w:iCs/>
          <w:sz w:val="28"/>
          <w:szCs w:val="28"/>
        </w:rPr>
        <w:t xml:space="preserve"> </w:t>
      </w:r>
      <w:r w:rsidR="00A7013D">
        <w:rPr>
          <w:iCs/>
          <w:sz w:val="28"/>
          <w:szCs w:val="28"/>
        </w:rPr>
        <w:t xml:space="preserve">Cíl energetické účinnosti </w:t>
      </w:r>
      <w:r w:rsidRPr="002D030F">
        <w:rPr>
          <w:iCs/>
          <w:sz w:val="28"/>
          <w:szCs w:val="28"/>
        </w:rPr>
        <w:t xml:space="preserve">činí 1,5 % objemu ročního prodeje energie konečným zákazníkům dle článku 7 příslušné směrnice. Pro naplnění článku 7 zvolila ČR implementaci souboru jiných politických opatření podle odstavce 9 tohoto článku tzv. </w:t>
      </w:r>
      <w:r w:rsidR="00A7013D">
        <w:rPr>
          <w:iCs/>
          <w:sz w:val="28"/>
          <w:szCs w:val="28"/>
        </w:rPr>
        <w:t>a</w:t>
      </w:r>
      <w:r w:rsidRPr="002D030F">
        <w:rPr>
          <w:iCs/>
          <w:sz w:val="28"/>
          <w:szCs w:val="28"/>
        </w:rPr>
        <w:t xml:space="preserve">lternativní schéma. Při možném nenaplnění cílů v </w:t>
      </w:r>
      <w:r w:rsidR="005D427C">
        <w:rPr>
          <w:iCs/>
          <w:sz w:val="28"/>
          <w:szCs w:val="28"/>
        </w:rPr>
        <w:t>rámci alternativního schématu a </w:t>
      </w:r>
      <w:r w:rsidRPr="002D030F">
        <w:rPr>
          <w:iCs/>
          <w:sz w:val="28"/>
          <w:szCs w:val="28"/>
        </w:rPr>
        <w:t>nedostatku finančních prostředků se při plnění cílů počítá se zavedením systému povinného zvyšování energetické účinnosti, zřejmě pro období 2018 – 2020.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Materiál uvádí postup výpočtu závazku úspor za ČR. Posouzení jeho správnosti a soulad se </w:t>
      </w:r>
      <w:r w:rsidRPr="002D030F">
        <w:rPr>
          <w:iCs/>
          <w:sz w:val="28"/>
          <w:szCs w:val="28"/>
        </w:rPr>
        <w:t>směrnic</w:t>
      </w:r>
      <w:r>
        <w:rPr>
          <w:iCs/>
          <w:sz w:val="28"/>
          <w:szCs w:val="28"/>
        </w:rPr>
        <w:t>í</w:t>
      </w:r>
      <w:r w:rsidRPr="002D030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o energetické účinnosti a </w:t>
      </w:r>
      <w:r w:rsidRPr="002D030F">
        <w:rPr>
          <w:iCs/>
          <w:sz w:val="28"/>
          <w:szCs w:val="28"/>
        </w:rPr>
        <w:t>výkladovými stanovisky</w:t>
      </w:r>
      <w:r>
        <w:rPr>
          <w:iCs/>
          <w:sz w:val="28"/>
          <w:szCs w:val="28"/>
        </w:rPr>
        <w:t xml:space="preserve"> </w:t>
      </w:r>
      <w:r w:rsidRPr="002D030F">
        <w:rPr>
          <w:iCs/>
          <w:sz w:val="28"/>
          <w:szCs w:val="28"/>
        </w:rPr>
        <w:t>posou</w:t>
      </w:r>
      <w:r>
        <w:rPr>
          <w:iCs/>
          <w:sz w:val="28"/>
          <w:szCs w:val="28"/>
        </w:rPr>
        <w:t xml:space="preserve">dí </w:t>
      </w:r>
      <w:r w:rsidRPr="002D030F">
        <w:rPr>
          <w:iCs/>
          <w:sz w:val="28"/>
          <w:szCs w:val="28"/>
        </w:rPr>
        <w:t>E</w:t>
      </w:r>
      <w:r w:rsidR="00A7013D">
        <w:rPr>
          <w:iCs/>
          <w:sz w:val="28"/>
          <w:szCs w:val="28"/>
        </w:rPr>
        <w:t>vropská komise</w:t>
      </w:r>
      <w:r>
        <w:rPr>
          <w:iCs/>
          <w:sz w:val="28"/>
          <w:szCs w:val="28"/>
        </w:rPr>
        <w:t>. Popsaný postup již zahrnuje odečet veškerých možných úspor dosažených před nabytím účinnosti směrnice</w:t>
      </w:r>
      <w:r w:rsidR="00A7013D">
        <w:rPr>
          <w:iCs/>
          <w:sz w:val="28"/>
          <w:szCs w:val="28"/>
        </w:rPr>
        <w:t xml:space="preserve"> a tedy využití maximální výše úlev (25%) z původního cíle</w:t>
      </w:r>
      <w:r>
        <w:rPr>
          <w:iCs/>
          <w:sz w:val="28"/>
          <w:szCs w:val="28"/>
        </w:rPr>
        <w:t>.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EC73D2" w:rsidRPr="00AF03F3" w:rsidRDefault="00A7013D" w:rsidP="005D427C">
      <w:pPr>
        <w:spacing w:after="0" w:line="240" w:lineRule="auto"/>
        <w:contextualSpacing/>
        <w:jc w:val="both"/>
        <w:rPr>
          <w:rFonts w:eastAsia="Calibri" w:cs="Calibri"/>
          <w:sz w:val="30"/>
          <w:szCs w:val="30"/>
        </w:rPr>
      </w:pPr>
      <w:r>
        <w:rPr>
          <w:iCs/>
          <w:sz w:val="28"/>
          <w:szCs w:val="28"/>
        </w:rPr>
        <w:t>Dokument o</w:t>
      </w:r>
      <w:r w:rsidR="002D030F" w:rsidRPr="002D030F">
        <w:rPr>
          <w:iCs/>
          <w:sz w:val="28"/>
          <w:szCs w:val="28"/>
        </w:rPr>
        <w:t>bs</w:t>
      </w:r>
      <w:r w:rsidR="002D030F">
        <w:rPr>
          <w:iCs/>
          <w:sz w:val="28"/>
          <w:szCs w:val="28"/>
        </w:rPr>
        <w:t>a</w:t>
      </w:r>
      <w:r w:rsidR="002D030F" w:rsidRPr="002D030F">
        <w:rPr>
          <w:iCs/>
          <w:sz w:val="28"/>
          <w:szCs w:val="28"/>
        </w:rPr>
        <w:t>h</w:t>
      </w:r>
      <w:r w:rsidR="002D030F">
        <w:rPr>
          <w:iCs/>
          <w:sz w:val="28"/>
          <w:szCs w:val="28"/>
        </w:rPr>
        <w:t xml:space="preserve">uje obsáhlý popis </w:t>
      </w:r>
      <w:r w:rsidR="002D030F" w:rsidRPr="002D030F">
        <w:rPr>
          <w:iCs/>
          <w:sz w:val="28"/>
          <w:szCs w:val="28"/>
        </w:rPr>
        <w:t>stávající situace</w:t>
      </w:r>
      <w:r>
        <w:rPr>
          <w:iCs/>
          <w:sz w:val="28"/>
          <w:szCs w:val="28"/>
        </w:rPr>
        <w:t xml:space="preserve"> a budoucí nastavení již existujících programů</w:t>
      </w:r>
      <w:r w:rsidR="008E1647">
        <w:rPr>
          <w:iCs/>
          <w:sz w:val="28"/>
          <w:szCs w:val="28"/>
        </w:rPr>
        <w:t xml:space="preserve"> doplněný o několik dalších návrhů, které by však bylo třeba ještě zpřesnit (např. fungování dobrovolných dohod v bodě 2.11, podpora </w:t>
      </w:r>
      <w:proofErr w:type="spellStart"/>
      <w:r w:rsidR="008E1647">
        <w:rPr>
          <w:iCs/>
          <w:sz w:val="28"/>
          <w:szCs w:val="28"/>
        </w:rPr>
        <w:t>mikrokogenerace</w:t>
      </w:r>
      <w:proofErr w:type="spellEnd"/>
      <w:r w:rsidR="008E1647">
        <w:rPr>
          <w:iCs/>
          <w:sz w:val="28"/>
          <w:szCs w:val="28"/>
        </w:rPr>
        <w:t xml:space="preserve"> v bodě 2.27 Vliv distribuované kogenerační výroby nebo dotační podpora plynofikace obcí v bodě 2.28 Cílená ekologizace zdrojů znečištění)</w:t>
      </w:r>
      <w:r w:rsidR="005D427C">
        <w:rPr>
          <w:iCs/>
          <w:sz w:val="28"/>
          <w:szCs w:val="28"/>
        </w:rPr>
        <w:t>.</w:t>
      </w:r>
      <w:r w:rsidR="008E1647">
        <w:rPr>
          <w:iCs/>
          <w:sz w:val="28"/>
          <w:szCs w:val="28"/>
        </w:rPr>
        <w:t xml:space="preserve"> V posledních dvou zmíněných případech také není jasný zdroj financování těchto opatření. Zároveň </w:t>
      </w:r>
      <w:r w:rsidR="00653F9A">
        <w:rPr>
          <w:iCs/>
          <w:sz w:val="28"/>
          <w:szCs w:val="28"/>
        </w:rPr>
        <w:t xml:space="preserve">upozorňujeme, že </w:t>
      </w:r>
      <w:r w:rsidR="008E1647">
        <w:rPr>
          <w:iCs/>
          <w:sz w:val="28"/>
          <w:szCs w:val="28"/>
        </w:rPr>
        <w:t xml:space="preserve">v detailnějším rozpisu chybí samostatná „záložka“ pro </w:t>
      </w:r>
      <w:r w:rsidR="00653F9A">
        <w:rPr>
          <w:iCs/>
          <w:sz w:val="28"/>
          <w:szCs w:val="28"/>
        </w:rPr>
        <w:t xml:space="preserve">Společný program pro výměnu kotlů, který je uveden v příloze č. 1, ale již chybí v příloze č. 3. Navrhujeme také doplnění přílohy č. 3 o nově připravované rozšíření Operačního programu Životní prostředí v prioritní ose 2 Zlepšení kvality ovzduší v rámci o alokaci v řádu 10 mld. na výměnu málo účinných a neekologických kotlů v domácnostech. </w:t>
      </w:r>
      <w:r w:rsidR="00EC73D2">
        <w:rPr>
          <w:iCs/>
          <w:sz w:val="28"/>
          <w:szCs w:val="28"/>
        </w:rPr>
        <w:t xml:space="preserve">Předkládaný dokument se věnuje komplexně zvýšení účinnosti využívání energie, domníváme se proto, že by i předkládaná opatření měla být navržena technologicky neutrálně. V této souvislosti navrhujeme rozšíření opatření 1.13 </w:t>
      </w:r>
      <w:r w:rsidR="00EC73D2" w:rsidRPr="00AF03F3">
        <w:rPr>
          <w:rFonts w:eastAsia="MS Mincho" w:cs="Calibri"/>
          <w:bCs/>
          <w:snapToGrid w:val="0"/>
          <w:sz w:val="30"/>
          <w:szCs w:val="30"/>
        </w:rPr>
        <w:t>Operační program Podnikání a inovace pro konkurenceschopnost</w:t>
      </w:r>
      <w:r w:rsidR="00EC73D2">
        <w:rPr>
          <w:rFonts w:eastAsia="MS Mincho" w:cs="Calibri"/>
          <w:bCs/>
          <w:snapToGrid w:val="0"/>
          <w:sz w:val="30"/>
          <w:szCs w:val="30"/>
        </w:rPr>
        <w:t xml:space="preserve">, které umožňuje získání investiční podpory pro průmyslové podniky, o možnost </w:t>
      </w:r>
      <w:r w:rsidR="00EC73D2" w:rsidRPr="00EC73D2">
        <w:rPr>
          <w:rFonts w:eastAsia="MS Mincho" w:cs="Calibri"/>
          <w:bCs/>
          <w:snapToGrid w:val="0"/>
          <w:sz w:val="30"/>
          <w:szCs w:val="30"/>
        </w:rPr>
        <w:lastRenderedPageBreak/>
        <w:t>„</w:t>
      </w:r>
      <w:r w:rsidR="00EC73D2" w:rsidRPr="00AF03F3">
        <w:rPr>
          <w:rFonts w:eastAsia="Calibri" w:cs="Calibri"/>
          <w:sz w:val="30"/>
          <w:szCs w:val="30"/>
        </w:rPr>
        <w:t xml:space="preserve">modernizace, rekonstrukce a snižování ztrát v rozvodech elektřiny, </w:t>
      </w:r>
      <w:r w:rsidR="00EC73D2" w:rsidRPr="00AF03F3">
        <w:rPr>
          <w:rFonts w:eastAsia="Calibri" w:cs="Calibri"/>
          <w:sz w:val="30"/>
          <w:szCs w:val="30"/>
          <w:u w:val="single"/>
        </w:rPr>
        <w:t>plynu</w:t>
      </w:r>
      <w:r w:rsidR="00EC73D2" w:rsidRPr="00AF03F3">
        <w:rPr>
          <w:rFonts w:eastAsia="Calibri" w:cs="Calibri"/>
          <w:sz w:val="30"/>
          <w:szCs w:val="30"/>
        </w:rPr>
        <w:t xml:space="preserve"> a tepla, v budovách a výrobních závodech“. </w:t>
      </w:r>
      <w:r w:rsidR="006D43D5">
        <w:rPr>
          <w:rFonts w:eastAsia="Calibri" w:cs="Calibri"/>
          <w:sz w:val="30"/>
          <w:szCs w:val="30"/>
        </w:rPr>
        <w:t>Dále doporučujeme změnit název opatření č. 2.3 na „</w:t>
      </w:r>
      <w:r w:rsidR="006D43D5" w:rsidRPr="00AF03F3">
        <w:rPr>
          <w:bCs/>
          <w:snapToGrid w:val="0"/>
          <w:sz w:val="30"/>
          <w:szCs w:val="30"/>
        </w:rPr>
        <w:t xml:space="preserve">Osvěta k úsporám energie ve spotřebě </w:t>
      </w:r>
      <w:r w:rsidR="006D43D5" w:rsidRPr="00AF03F3">
        <w:rPr>
          <w:bCs/>
          <w:snapToGrid w:val="0"/>
          <w:sz w:val="30"/>
          <w:szCs w:val="30"/>
          <w:u w:val="single"/>
        </w:rPr>
        <w:t>energií</w:t>
      </w:r>
      <w:r w:rsidR="006D43D5" w:rsidRPr="00AF03F3">
        <w:rPr>
          <w:bCs/>
          <w:snapToGrid w:val="0"/>
          <w:sz w:val="30"/>
          <w:szCs w:val="30"/>
        </w:rPr>
        <w:t xml:space="preserve"> v</w:t>
      </w:r>
      <w:r w:rsidR="006D43D5">
        <w:rPr>
          <w:bCs/>
          <w:snapToGrid w:val="0"/>
          <w:sz w:val="30"/>
          <w:szCs w:val="30"/>
        </w:rPr>
        <w:t> </w:t>
      </w:r>
      <w:r w:rsidR="006D43D5" w:rsidRPr="00AF03F3">
        <w:rPr>
          <w:bCs/>
          <w:snapToGrid w:val="0"/>
          <w:sz w:val="30"/>
          <w:szCs w:val="30"/>
        </w:rPr>
        <w:t>domácnostech</w:t>
      </w:r>
      <w:r w:rsidR="006D43D5">
        <w:rPr>
          <w:bCs/>
          <w:snapToGrid w:val="0"/>
          <w:sz w:val="30"/>
          <w:szCs w:val="30"/>
        </w:rPr>
        <w:t>“, neboť v detailnějším popisu se již dále mluví o úsporách energií a ne jen tepla, jak zněl původní název.</w:t>
      </w:r>
    </w:p>
    <w:p w:rsidR="004E186A" w:rsidRPr="00F72096" w:rsidRDefault="004E186A" w:rsidP="005D427C">
      <w:pPr>
        <w:spacing w:after="0" w:line="240" w:lineRule="auto"/>
        <w:contextualSpacing/>
        <w:jc w:val="both"/>
        <w:rPr>
          <w:snapToGrid w:val="0"/>
          <w:szCs w:val="24"/>
        </w:rPr>
      </w:pPr>
      <w:r>
        <w:rPr>
          <w:rFonts w:eastAsia="MS Mincho" w:cs="Calibri"/>
          <w:bCs/>
          <w:snapToGrid w:val="0"/>
          <w:sz w:val="30"/>
          <w:szCs w:val="30"/>
        </w:rPr>
        <w:t>Vzhledem k primárnímu zaměření dokumentu na energetickou účinnost navrhujeme u opatření č. 2.11 Podpora dobrovolných závazků zvolit jen jeden cíl, a to z</w:t>
      </w:r>
      <w:r w:rsidRPr="00AF03F3">
        <w:rPr>
          <w:rFonts w:eastAsia="MS Mincho" w:cs="Calibri"/>
          <w:bCs/>
          <w:snapToGrid w:val="0"/>
          <w:sz w:val="30"/>
          <w:szCs w:val="30"/>
        </w:rPr>
        <w:t>výšení energetické účinnosti o x% ročně nebo x% do roku 2020.</w:t>
      </w:r>
      <w:r>
        <w:rPr>
          <w:rFonts w:eastAsia="MS Mincho" w:cs="Calibri"/>
          <w:bCs/>
          <w:snapToGrid w:val="0"/>
          <w:sz w:val="30"/>
          <w:szCs w:val="30"/>
        </w:rPr>
        <w:t xml:space="preserve"> Druhý cíl se zaměřením na snižování emisí sice zpravidla koreluje s účinnějším využíváním energie, ale jsme přesvědčeni, že je vhodnější zvolit pouze jedno kritérium sledující jeden cíl, byť můžeme zároveň měřit i další pozitivní vedlejší účinky. Nemělo by ale docházet ke zdvojení cílů, pokud to není nezbytně nutné (např. v operačních programech </w:t>
      </w:r>
      <w:proofErr w:type="spellStart"/>
      <w:r>
        <w:rPr>
          <w:rFonts w:eastAsia="MS Mincho" w:cs="Calibri"/>
          <w:bCs/>
          <w:snapToGrid w:val="0"/>
          <w:sz w:val="30"/>
          <w:szCs w:val="30"/>
        </w:rPr>
        <w:t>MŽP</w:t>
      </w:r>
      <w:proofErr w:type="spellEnd"/>
      <w:r>
        <w:rPr>
          <w:rFonts w:eastAsia="MS Mincho" w:cs="Calibri"/>
          <w:bCs/>
          <w:snapToGrid w:val="0"/>
          <w:sz w:val="30"/>
          <w:szCs w:val="30"/>
        </w:rPr>
        <w:t>).</w:t>
      </w:r>
    </w:p>
    <w:p w:rsidR="00EC73D2" w:rsidRDefault="00EC73D2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 </w:t>
      </w:r>
      <w:r w:rsidRPr="002D030F">
        <w:rPr>
          <w:iCs/>
          <w:sz w:val="28"/>
          <w:szCs w:val="28"/>
        </w:rPr>
        <w:t xml:space="preserve">zásadní nedostatek považujeme absenci hlubší ekonomické analýzy vztahu mezi potenciálem úspor a </w:t>
      </w:r>
      <w:r>
        <w:rPr>
          <w:iCs/>
          <w:sz w:val="28"/>
          <w:szCs w:val="28"/>
        </w:rPr>
        <w:t xml:space="preserve">minimálními </w:t>
      </w:r>
      <w:r w:rsidRPr="002D030F">
        <w:rPr>
          <w:iCs/>
          <w:sz w:val="28"/>
          <w:szCs w:val="28"/>
        </w:rPr>
        <w:t xml:space="preserve">náklady na jejich dosažení. A to nejen vyhodnocení dosažených úspor vs. náklady </w:t>
      </w:r>
      <w:r>
        <w:rPr>
          <w:iCs/>
          <w:sz w:val="28"/>
          <w:szCs w:val="28"/>
        </w:rPr>
        <w:t xml:space="preserve">na </w:t>
      </w:r>
      <w:r w:rsidRPr="002D030F">
        <w:rPr>
          <w:iCs/>
          <w:sz w:val="28"/>
          <w:szCs w:val="28"/>
        </w:rPr>
        <w:t>v minulosti realizovan</w:t>
      </w:r>
      <w:r>
        <w:rPr>
          <w:iCs/>
          <w:sz w:val="28"/>
          <w:szCs w:val="28"/>
        </w:rPr>
        <w:t>á</w:t>
      </w:r>
      <w:r w:rsidRPr="002D030F">
        <w:rPr>
          <w:iCs/>
          <w:sz w:val="28"/>
          <w:szCs w:val="28"/>
        </w:rPr>
        <w:t xml:space="preserve"> opatření (</w:t>
      </w:r>
      <w:r w:rsidR="008E1647">
        <w:rPr>
          <w:iCs/>
          <w:sz w:val="28"/>
          <w:szCs w:val="28"/>
        </w:rPr>
        <w:t xml:space="preserve">tato data jsou známá pouze z programu </w:t>
      </w:r>
      <w:r w:rsidRPr="002D030F">
        <w:rPr>
          <w:iCs/>
          <w:sz w:val="28"/>
          <w:szCs w:val="28"/>
        </w:rPr>
        <w:t xml:space="preserve">Zelená úsporám), ale zejména promítnutí reálných dat do ekonomiky opatření plánovaných v budoucnu. Nejde tak pouze o dotace nabízené ze strany státu na jednotlivá dílčí opatření, ale </w:t>
      </w:r>
      <w:r>
        <w:rPr>
          <w:iCs/>
          <w:sz w:val="28"/>
          <w:szCs w:val="28"/>
        </w:rPr>
        <w:t xml:space="preserve">i </w:t>
      </w:r>
      <w:r w:rsidRPr="002D030F">
        <w:rPr>
          <w:iCs/>
          <w:sz w:val="28"/>
          <w:szCs w:val="28"/>
        </w:rPr>
        <w:t>o ekonomický potenciál spolufinancující</w:t>
      </w:r>
      <w:r>
        <w:rPr>
          <w:iCs/>
          <w:sz w:val="28"/>
          <w:szCs w:val="28"/>
        </w:rPr>
        <w:t>ch</w:t>
      </w:r>
      <w:r w:rsidRPr="002D030F">
        <w:rPr>
          <w:iCs/>
          <w:sz w:val="28"/>
          <w:szCs w:val="28"/>
        </w:rPr>
        <w:t xml:space="preserve"> stran.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2D030F">
        <w:rPr>
          <w:iCs/>
          <w:sz w:val="28"/>
          <w:szCs w:val="28"/>
        </w:rPr>
        <w:t xml:space="preserve">Z materiálu není jasné rozložení závazku na jednotlivé sektory. </w:t>
      </w:r>
      <w:r w:rsidR="002A2BA0">
        <w:rPr>
          <w:iCs/>
          <w:sz w:val="28"/>
          <w:szCs w:val="28"/>
        </w:rPr>
        <w:t xml:space="preserve">V předchozích dokumentech ministerstva bylo zmiňováno rozdělení cílící v největší míře na průmysl – bylo uváděno číslo 44%. Z dokumentu však vyplývá spíše zaměření na domácnosti a terciální sektor. Zvláště sektor průmyslu postrádá detailnější rozpracování. 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2D030F">
        <w:rPr>
          <w:iCs/>
          <w:sz w:val="28"/>
          <w:szCs w:val="28"/>
        </w:rPr>
        <w:t>Jednotlivá opatření by navíc měla být v čase rozložena tak, aby v počátku došlo k zapojení „movitější“ klientely, v konečné fázi pak opatření zaměřit na sociálně slabší cílové skupiny. Z dosavadního vývoje se zdá, že byl zvolen postup zcela opačný.</w:t>
      </w:r>
      <w:r w:rsidR="002A2BA0">
        <w:rPr>
          <w:iCs/>
          <w:sz w:val="28"/>
          <w:szCs w:val="28"/>
        </w:rPr>
        <w:t xml:space="preserve"> Důrazně proto doporučujeme snížení nároků na administraci projektů pro žadatele a umožnění i jen samostatné výměny </w:t>
      </w:r>
      <w:r w:rsidR="00C126B3">
        <w:rPr>
          <w:iCs/>
          <w:sz w:val="28"/>
          <w:szCs w:val="28"/>
        </w:rPr>
        <w:t>spalovacího zařízení bez povinnosti hlubší rekonstrukce domu. Tato opatření zpřístupní energeticky účinnější využívání energie i méně movitým občanům, kteří si i přes širokou nabídku dotačních titulů nemohou dovolit požadovanou minimální úroveň rekonstrukce kvůli nedostatku vlastního kapitálu.</w:t>
      </w:r>
    </w:p>
    <w:p w:rsidR="002D030F" w:rsidRP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2D030F">
        <w:rPr>
          <w:iCs/>
          <w:sz w:val="28"/>
          <w:szCs w:val="28"/>
        </w:rPr>
        <w:t>Za další potenciální zdroj komplikací považujeme roztříštěnost administrace projektů mezi jednotlivé složky státní správy a sledování různých cílů (emise, úspory). Rozdělení dílčí odpovědnosti popř. závazků pro jednotlivé administrátory</w:t>
      </w:r>
      <w:r w:rsidR="00DD158F">
        <w:rPr>
          <w:iCs/>
          <w:sz w:val="28"/>
          <w:szCs w:val="28"/>
        </w:rPr>
        <w:t xml:space="preserve"> by mělo vyjasněné v samotném počátku</w:t>
      </w:r>
      <w:r w:rsidRPr="002D030F">
        <w:rPr>
          <w:iCs/>
          <w:sz w:val="28"/>
          <w:szCs w:val="28"/>
        </w:rPr>
        <w:t>.</w:t>
      </w:r>
    </w:p>
    <w:p w:rsidR="002D030F" w:rsidRP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2D030F">
        <w:rPr>
          <w:iCs/>
          <w:sz w:val="28"/>
          <w:szCs w:val="28"/>
        </w:rPr>
        <w:lastRenderedPageBreak/>
        <w:t xml:space="preserve">Obecně u navrhovaných opatření postrádáme doprovodný mechanismus zpětné vazby, který by průběžně vyhodnocoval směřování reálných výsledků vzhledem k očekávaným, jejich náklady a na základě tohoto vyhodnocení </w:t>
      </w:r>
      <w:r>
        <w:rPr>
          <w:iCs/>
          <w:sz w:val="28"/>
          <w:szCs w:val="28"/>
        </w:rPr>
        <w:t xml:space="preserve">korigoval </w:t>
      </w:r>
      <w:r w:rsidRPr="002D030F">
        <w:rPr>
          <w:iCs/>
          <w:sz w:val="28"/>
          <w:szCs w:val="28"/>
        </w:rPr>
        <w:t>výchozí parametr</w:t>
      </w:r>
      <w:r>
        <w:rPr>
          <w:iCs/>
          <w:sz w:val="28"/>
          <w:szCs w:val="28"/>
        </w:rPr>
        <w:t>y</w:t>
      </w:r>
      <w:r w:rsidRPr="002D030F">
        <w:rPr>
          <w:iCs/>
          <w:sz w:val="28"/>
          <w:szCs w:val="28"/>
        </w:rPr>
        <w:t xml:space="preserve"> se zřetelem k zamýšleným cílům.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Za přínosné považujeme vyzdvižení významu </w:t>
      </w:r>
      <w:proofErr w:type="spellStart"/>
      <w:r w:rsidR="00DD158F">
        <w:rPr>
          <w:iCs/>
          <w:sz w:val="28"/>
          <w:szCs w:val="28"/>
        </w:rPr>
        <w:t>k</w:t>
      </w:r>
      <w:r>
        <w:rPr>
          <w:iCs/>
          <w:sz w:val="28"/>
          <w:szCs w:val="28"/>
        </w:rPr>
        <w:t>ogenerace</w:t>
      </w:r>
      <w:proofErr w:type="spellEnd"/>
      <w:r w:rsidR="00DD158F">
        <w:rPr>
          <w:iCs/>
          <w:sz w:val="28"/>
          <w:szCs w:val="28"/>
        </w:rPr>
        <w:t xml:space="preserve"> (zejména využívající jako palivo zemní plyn)</w:t>
      </w:r>
      <w:r>
        <w:rPr>
          <w:iCs/>
          <w:sz w:val="28"/>
          <w:szCs w:val="28"/>
        </w:rPr>
        <w:t>, která může významně přispět k vyššímu využívání energetických zdrojů</w:t>
      </w:r>
      <w:r w:rsidR="00DD158F">
        <w:rPr>
          <w:iCs/>
          <w:sz w:val="28"/>
          <w:szCs w:val="28"/>
        </w:rPr>
        <w:t xml:space="preserve">, dále pak </w:t>
      </w:r>
      <w:r>
        <w:rPr>
          <w:iCs/>
          <w:sz w:val="28"/>
          <w:szCs w:val="28"/>
        </w:rPr>
        <w:t>náznak zamýšlené revize distribučních tarifů elektrické energie, které již neodpovíd</w:t>
      </w:r>
      <w:r w:rsidR="00DD158F">
        <w:rPr>
          <w:iCs/>
          <w:sz w:val="28"/>
          <w:szCs w:val="28"/>
        </w:rPr>
        <w:t>ají</w:t>
      </w:r>
      <w:r>
        <w:rPr>
          <w:iCs/>
          <w:sz w:val="28"/>
          <w:szCs w:val="28"/>
        </w:rPr>
        <w:t xml:space="preserve"> současným požadavkům a podporou topných zařízení nepřispív</w:t>
      </w:r>
      <w:r w:rsidR="00DD158F">
        <w:rPr>
          <w:iCs/>
          <w:sz w:val="28"/>
          <w:szCs w:val="28"/>
        </w:rPr>
        <w:t>ají</w:t>
      </w:r>
      <w:r>
        <w:rPr>
          <w:iCs/>
          <w:sz w:val="28"/>
          <w:szCs w:val="28"/>
        </w:rPr>
        <w:t xml:space="preserve"> k racionálnímu využívání zdrojů.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2D030F">
        <w:rPr>
          <w:iCs/>
          <w:sz w:val="28"/>
          <w:szCs w:val="28"/>
        </w:rPr>
        <w:t>Dosud se totiž nepodařilo dostatečně vyhodnotit již proběhlé programy</w:t>
      </w:r>
      <w:r w:rsidR="00C6680C">
        <w:rPr>
          <w:iCs/>
          <w:sz w:val="28"/>
          <w:szCs w:val="28"/>
        </w:rPr>
        <w:t xml:space="preserve"> (Zelená úsporám, Panel, EPC) a </w:t>
      </w:r>
      <w:r w:rsidRPr="002D030F">
        <w:rPr>
          <w:iCs/>
          <w:sz w:val="28"/>
          <w:szCs w:val="28"/>
        </w:rPr>
        <w:t>jejich skutečný vliv (nebo nevliv) na vývoj konečné spotřeby energie v ČR (nikoliv pouze dílčí výsledky jednotlivých akcí obvykle vykazované samotným zadavatelem akce). Zásadní inventura toho, co</w:t>
      </w:r>
      <w:r w:rsidR="005D427C">
        <w:rPr>
          <w:iCs/>
          <w:sz w:val="28"/>
          <w:szCs w:val="28"/>
        </w:rPr>
        <w:t xml:space="preserve"> bylo v </w:t>
      </w:r>
      <w:r w:rsidR="00C6680C">
        <w:rPr>
          <w:iCs/>
          <w:sz w:val="28"/>
          <w:szCs w:val="28"/>
        </w:rPr>
        <w:t>této oblasti dosaženo v </w:t>
      </w:r>
      <w:r w:rsidRPr="002D030F">
        <w:rPr>
          <w:iCs/>
          <w:sz w:val="28"/>
          <w:szCs w:val="28"/>
        </w:rPr>
        <w:t>minulých letech, by byla určitě východiskem pro další úsilí, ale domníváme se, že přes velká kvanta uváděných čísel celostátní přehled přesto chybí.</w:t>
      </w: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P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Praha 2</w:t>
      </w:r>
      <w:r w:rsidR="002D030F">
        <w:rPr>
          <w:iCs/>
          <w:sz w:val="28"/>
          <w:szCs w:val="28"/>
        </w:rPr>
        <w:t>8</w:t>
      </w:r>
      <w:r w:rsidRPr="00690FFF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dubna </w:t>
      </w:r>
      <w:r w:rsidRPr="00690FFF">
        <w:rPr>
          <w:iCs/>
          <w:sz w:val="28"/>
          <w:szCs w:val="28"/>
        </w:rPr>
        <w:t>2014</w:t>
      </w:r>
    </w:p>
    <w:p w:rsidR="00690FFF" w:rsidRP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 xml:space="preserve">Za ČPS </w:t>
      </w:r>
    </w:p>
    <w:p w:rsidR="00690FFF" w:rsidRP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Ing. Jan Ruml</w:t>
      </w:r>
    </w:p>
    <w:p w:rsid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výkonný ředitel</w:t>
      </w:r>
    </w:p>
    <w:sectPr w:rsidR="00690FFF" w:rsidSect="002D030F">
      <w:footerReference w:type="default" r:id="rId7"/>
      <w:headerReference w:type="first" r:id="rId8"/>
      <w:pgSz w:w="11906" w:h="16838" w:code="9"/>
      <w:pgMar w:top="109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91" w:rsidRDefault="00747891" w:rsidP="00690FFF">
      <w:pPr>
        <w:spacing w:after="0" w:line="240" w:lineRule="auto"/>
      </w:pPr>
      <w:r>
        <w:separator/>
      </w:r>
    </w:p>
  </w:endnote>
  <w:endnote w:type="continuationSeparator" w:id="0">
    <w:p w:rsidR="00747891" w:rsidRDefault="00747891" w:rsidP="006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0FFF" w:rsidRPr="00690FFF" w:rsidRDefault="00585E98">
        <w:pPr>
          <w:pStyle w:val="Zpat"/>
          <w:jc w:val="center"/>
          <w:rPr>
            <w:sz w:val="28"/>
            <w:szCs w:val="28"/>
          </w:rPr>
        </w:pPr>
        <w:r w:rsidRPr="00690FFF">
          <w:rPr>
            <w:sz w:val="28"/>
            <w:szCs w:val="28"/>
          </w:rPr>
          <w:fldChar w:fldCharType="begin"/>
        </w:r>
        <w:r w:rsidR="00690FFF" w:rsidRPr="00690FFF">
          <w:rPr>
            <w:sz w:val="28"/>
            <w:szCs w:val="28"/>
          </w:rPr>
          <w:instrText xml:space="preserve"> PAGE   \* MERGEFORMAT </w:instrText>
        </w:r>
        <w:r w:rsidRPr="00690FFF">
          <w:rPr>
            <w:sz w:val="28"/>
            <w:szCs w:val="28"/>
          </w:rPr>
          <w:fldChar w:fldCharType="separate"/>
        </w:r>
        <w:r w:rsidR="003225A1">
          <w:rPr>
            <w:noProof/>
            <w:sz w:val="28"/>
            <w:szCs w:val="28"/>
          </w:rPr>
          <w:t>3</w:t>
        </w:r>
        <w:r w:rsidRPr="00690FFF">
          <w:rPr>
            <w:sz w:val="28"/>
            <w:szCs w:val="28"/>
          </w:rPr>
          <w:fldChar w:fldCharType="end"/>
        </w:r>
      </w:p>
    </w:sdtContent>
  </w:sdt>
  <w:p w:rsidR="00690FFF" w:rsidRDefault="00690F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91" w:rsidRDefault="00747891" w:rsidP="00690FFF">
      <w:pPr>
        <w:spacing w:after="0" w:line="240" w:lineRule="auto"/>
      </w:pPr>
      <w:r>
        <w:separator/>
      </w:r>
    </w:p>
  </w:footnote>
  <w:footnote w:type="continuationSeparator" w:id="0">
    <w:p w:rsidR="00747891" w:rsidRDefault="00747891" w:rsidP="0069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F" w:rsidRDefault="00690FFF" w:rsidP="00690FFF">
    <w:pPr>
      <w:pStyle w:val="Zhlav"/>
      <w:jc w:val="center"/>
    </w:pPr>
    <w:r w:rsidRPr="00690FFF">
      <w:rPr>
        <w:noProof/>
        <w:lang w:eastAsia="cs-CZ"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B8"/>
    <w:multiLevelType w:val="hybridMultilevel"/>
    <w:tmpl w:val="B6DA6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1C0"/>
    <w:multiLevelType w:val="hybridMultilevel"/>
    <w:tmpl w:val="6A0CCD62"/>
    <w:lvl w:ilvl="0" w:tplc="7A26A2DA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A2B19"/>
    <w:multiLevelType w:val="hybridMultilevel"/>
    <w:tmpl w:val="412C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D6B"/>
    <w:multiLevelType w:val="hybridMultilevel"/>
    <w:tmpl w:val="00680982"/>
    <w:lvl w:ilvl="0" w:tplc="D234C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B7A6B"/>
    <w:multiLevelType w:val="hybridMultilevel"/>
    <w:tmpl w:val="63C01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210D6"/>
    <w:multiLevelType w:val="hybridMultilevel"/>
    <w:tmpl w:val="BEB6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82"/>
    <w:rsid w:val="0002422C"/>
    <w:rsid w:val="0008317D"/>
    <w:rsid w:val="000C6656"/>
    <w:rsid w:val="000E52C2"/>
    <w:rsid w:val="001A0135"/>
    <w:rsid w:val="00262483"/>
    <w:rsid w:val="002A2BA0"/>
    <w:rsid w:val="002D030F"/>
    <w:rsid w:val="002E2A45"/>
    <w:rsid w:val="003225A1"/>
    <w:rsid w:val="00363282"/>
    <w:rsid w:val="003B215F"/>
    <w:rsid w:val="004A6E7C"/>
    <w:rsid w:val="004E186A"/>
    <w:rsid w:val="00585E98"/>
    <w:rsid w:val="005D427C"/>
    <w:rsid w:val="00626C1E"/>
    <w:rsid w:val="00653F9A"/>
    <w:rsid w:val="00690FFF"/>
    <w:rsid w:val="006D43D5"/>
    <w:rsid w:val="00747891"/>
    <w:rsid w:val="007B11BD"/>
    <w:rsid w:val="007F7FA2"/>
    <w:rsid w:val="00822ED2"/>
    <w:rsid w:val="00855B2D"/>
    <w:rsid w:val="008E1647"/>
    <w:rsid w:val="009070FF"/>
    <w:rsid w:val="009759BB"/>
    <w:rsid w:val="00975BD0"/>
    <w:rsid w:val="009E17B0"/>
    <w:rsid w:val="00A7013D"/>
    <w:rsid w:val="00AF03F3"/>
    <w:rsid w:val="00B5741A"/>
    <w:rsid w:val="00BC074E"/>
    <w:rsid w:val="00C126B3"/>
    <w:rsid w:val="00C24D08"/>
    <w:rsid w:val="00C6680C"/>
    <w:rsid w:val="00DD158F"/>
    <w:rsid w:val="00DE2C1F"/>
    <w:rsid w:val="00DE3D65"/>
    <w:rsid w:val="00EC73D2"/>
    <w:rsid w:val="00EF5BB6"/>
    <w:rsid w:val="00F32608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</cp:lastModifiedBy>
  <cp:revision>3</cp:revision>
  <dcterms:created xsi:type="dcterms:W3CDTF">2014-04-28T13:09:00Z</dcterms:created>
  <dcterms:modified xsi:type="dcterms:W3CDTF">2014-04-28T13:17:00Z</dcterms:modified>
</cp:coreProperties>
</file>