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2" w:rsidRDefault="00363282" w:rsidP="00DE2C1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Stanovisko k návrhu novely zákona č. 100/2001 Sb. o posuzování vlivů na životní prostředí a o změně některýc</w:t>
      </w:r>
      <w:r w:rsidR="00DE2C1F">
        <w:rPr>
          <w:b/>
          <w:sz w:val="28"/>
          <w:szCs w:val="28"/>
        </w:rPr>
        <w:t>h souvisejících zákonů (zákon o </w:t>
      </w:r>
      <w:r>
        <w:rPr>
          <w:b/>
          <w:sz w:val="28"/>
          <w:szCs w:val="28"/>
        </w:rPr>
        <w:t>posuzování vlivů na životní prostředí</w:t>
      </w:r>
      <w:r w:rsidR="004A6E7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ve znění pozdějších předpisů a další související zákony</w:t>
      </w:r>
    </w:p>
    <w:p w:rsidR="004A6E7C" w:rsidRDefault="004A6E7C" w:rsidP="00DE2C1F">
      <w:pPr>
        <w:spacing w:after="0" w:line="240" w:lineRule="auto"/>
        <w:jc w:val="center"/>
        <w:rPr>
          <w:b/>
          <w:sz w:val="28"/>
          <w:szCs w:val="28"/>
        </w:rPr>
      </w:pPr>
    </w:p>
    <w:p w:rsidR="00363282" w:rsidRDefault="00363282" w:rsidP="00DE2C1F">
      <w:pPr>
        <w:spacing w:after="60"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Novela zákona reaguje na řízení EK vůči České republice ve věci nesprávného provedení směrnice EIA</w:t>
      </w:r>
      <w:r w:rsidR="00626C1E">
        <w:rPr>
          <w:sz w:val="28"/>
          <w:szCs w:val="28"/>
        </w:rPr>
        <w:t xml:space="preserve"> (první směrnicí, která upravovala proces EIA na úrovni EHS byla směrnice 85/337/EHS a poslední úpravou byla směrnice 2011/92/EU)</w:t>
      </w:r>
      <w:r w:rsidR="00975BD0">
        <w:rPr>
          <w:sz w:val="28"/>
          <w:szCs w:val="28"/>
        </w:rPr>
        <w:t>. Hlavní výtkou EK je, že ustanovení směrnice EIA mají být aplikována nejen na proces posuzování vlivů na životní prostředí a veřejné zdraví, ale i na navazující povolovací řízení (územní a stavební) kde je záměr definitivně schválen (zákon č. 186/2006 Sb. o územním plánování a stavebním řádu – stavební zákon). Konkrétní výtky EK jsou:</w:t>
      </w:r>
    </w:p>
    <w:p w:rsidR="00975BD0" w:rsidRDefault="00975BD0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nedostatečná účast veřejnosti v řízení podle stavebního zákona,</w:t>
      </w:r>
    </w:p>
    <w:p w:rsidR="00975BD0" w:rsidRDefault="00975BD0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omezená možnost veřejnosti podat žal</w:t>
      </w:r>
      <w:r w:rsidR="00DE2C1F">
        <w:rPr>
          <w:sz w:val="28"/>
          <w:szCs w:val="28"/>
        </w:rPr>
        <w:t>obu proti územnímu rozhodnutí a </w:t>
      </w:r>
      <w:r>
        <w:rPr>
          <w:sz w:val="28"/>
          <w:szCs w:val="28"/>
        </w:rPr>
        <w:t>stavebnímu povolení,</w:t>
      </w:r>
    </w:p>
    <w:p w:rsidR="00975BD0" w:rsidRDefault="00975BD0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malá závaznost výstupů z procesu EIA čímž dochází ke změnám staveb v územním popřípadě</w:t>
      </w:r>
      <w:r w:rsidR="004A6E7C">
        <w:rPr>
          <w:sz w:val="28"/>
          <w:szCs w:val="28"/>
        </w:rPr>
        <w:t xml:space="preserve"> stavebním řízení.</w:t>
      </w:r>
    </w:p>
    <w:p w:rsidR="004A6E7C" w:rsidRDefault="004A6E7C" w:rsidP="00DE2C1F">
      <w:pPr>
        <w:spacing w:before="240" w:after="6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Novela zákona o posuzování vlivů na životní prostředí reaguje na tyto výtky následujícím způsobem</w:t>
      </w:r>
      <w:r w:rsidR="00DE2C1F">
        <w:rPr>
          <w:sz w:val="28"/>
          <w:szCs w:val="28"/>
        </w:rPr>
        <w:t>:</w:t>
      </w:r>
    </w:p>
    <w:p w:rsidR="004A6E7C" w:rsidRDefault="004A6E7C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stanovisko EIA bude nově vydáváno ve for</w:t>
      </w:r>
      <w:r w:rsidR="00DE2C1F">
        <w:rPr>
          <w:sz w:val="28"/>
          <w:szCs w:val="28"/>
        </w:rPr>
        <w:t>mě závazného stanoviska podle § </w:t>
      </w:r>
      <w:r>
        <w:rPr>
          <w:sz w:val="28"/>
          <w:szCs w:val="28"/>
        </w:rPr>
        <w:t>149 správního řádu, platnost stanoviska EIA n</w:t>
      </w:r>
      <w:r w:rsidR="00DE2C1F">
        <w:rPr>
          <w:sz w:val="28"/>
          <w:szCs w:val="28"/>
        </w:rPr>
        <w:t>abude časově omezena a </w:t>
      </w:r>
      <w:r>
        <w:rPr>
          <w:sz w:val="28"/>
          <w:szCs w:val="28"/>
        </w:rPr>
        <w:t xml:space="preserve">jeho aktuálnost bude ověřována zkoumáním souladu předkládaného v navazujících povolovacích řízeních se </w:t>
      </w:r>
      <w:r w:rsidR="00B5741A">
        <w:rPr>
          <w:sz w:val="28"/>
          <w:szCs w:val="28"/>
        </w:rPr>
        <w:t>záměrem, k němuž</w:t>
      </w:r>
      <w:r>
        <w:rPr>
          <w:sz w:val="28"/>
          <w:szCs w:val="28"/>
        </w:rPr>
        <w:t xml:space="preserve"> bylo vydáno stanovisko EIA</w:t>
      </w:r>
      <w:r w:rsidR="00B5741A">
        <w:rPr>
          <w:sz w:val="28"/>
          <w:szCs w:val="28"/>
        </w:rPr>
        <w:t xml:space="preserve"> (coherence stamp),</w:t>
      </w:r>
    </w:p>
    <w:p w:rsidR="00B5741A" w:rsidRDefault="00B5741A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jestliže záměr nebude na základě zjišťovacího řízení podléhat procesu EIA, bude o tom vydáno rozhodnutí,</w:t>
      </w:r>
    </w:p>
    <w:p w:rsidR="00B5741A" w:rsidRDefault="00B5741A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možnost účasti veřejnosti bude ve shodě s právním řádem ČR řešena formou konzultativní účasti (právo vyjádřit se v rámci řízení)</w:t>
      </w:r>
      <w:r w:rsidR="00DE2C1F">
        <w:rPr>
          <w:sz w:val="28"/>
          <w:szCs w:val="28"/>
        </w:rPr>
        <w:t>, nebude se tedy jednat o </w:t>
      </w:r>
      <w:r w:rsidR="0008317D">
        <w:rPr>
          <w:sz w:val="28"/>
          <w:szCs w:val="28"/>
        </w:rPr>
        <w:t>plnoprávnou účast v řízení,</w:t>
      </w:r>
    </w:p>
    <w:p w:rsidR="0008317D" w:rsidRDefault="0008317D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možnost žaloby proti rozhodnutí vydanému v některém z navazujících povolovacích řízení (územní nebo stavební rozhodnutí) bude přiznána účastníkům povolovacího řízení, osobám aktivně legitimovaným podle §65 SŘS a privilegovaným žalobců (nevládním organizací</w:t>
      </w:r>
      <w:r w:rsidR="009E17B0">
        <w:rPr>
          <w:sz w:val="28"/>
          <w:szCs w:val="28"/>
        </w:rPr>
        <w:t xml:space="preserve"> specializovaným na ochranu životního prostředí) s určitými omezeními (např. petice s nejméně 250 ověřenými podpisy svéprávných osob), o žalobě bude muset soud rozhodnout ve lhůtě 90 dnů</w:t>
      </w:r>
      <w:r w:rsidR="003B215F">
        <w:rPr>
          <w:sz w:val="28"/>
          <w:szCs w:val="28"/>
        </w:rPr>
        <w:t>,</w:t>
      </w:r>
    </w:p>
    <w:p w:rsidR="003B215F" w:rsidRDefault="003B215F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§§ 91 a 61stavebního zákona budou upraveny tak, aby nebylo možné vést sloučené procesy vydávání regulačního plánu a procesu EIA,</w:t>
      </w:r>
    </w:p>
    <w:p w:rsidR="003B215F" w:rsidRDefault="003B215F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v souladu s požadavky směrnice EIA dojde k rozšíření okruhu zpřístupňovaných informací.</w:t>
      </w:r>
    </w:p>
    <w:p w:rsidR="00626C1E" w:rsidRDefault="00626C1E" w:rsidP="00DE2C1F">
      <w:pPr>
        <w:spacing w:before="240"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Evropská komise prakticky již od roku 2006 upozorňovala Českou republiku, že česká legislativa v oblasti procesu EIA není v úplném souladu s unijní legislativou. V současné době již hrozí ČR citelné sankce ze strany EK včetně pozastavení financování</w:t>
      </w:r>
      <w:r w:rsidR="001A0135">
        <w:rPr>
          <w:sz w:val="28"/>
          <w:szCs w:val="28"/>
        </w:rPr>
        <w:t xml:space="preserve"> některých rozvojových programů financovaných EU</w:t>
      </w:r>
      <w:r w:rsidR="000E52C2">
        <w:rPr>
          <w:sz w:val="28"/>
          <w:szCs w:val="28"/>
        </w:rPr>
        <w:t xml:space="preserve"> (programové období 2014 – 2020)</w:t>
      </w:r>
      <w:r w:rsidR="001A0135">
        <w:rPr>
          <w:sz w:val="28"/>
          <w:szCs w:val="28"/>
        </w:rPr>
        <w:t>.</w:t>
      </w:r>
    </w:p>
    <w:p w:rsidR="001A0135" w:rsidRDefault="001A0135" w:rsidP="00DE2C1F">
      <w:pPr>
        <w:spacing w:before="240" w:after="60"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Z hlediska úprav procesu posuzování vlivů na životní prostředí navrhovaných MŽP (prakticky vynucených EK) je třeba z pohledu plynárenství znovu připomenout</w:t>
      </w:r>
      <w:r w:rsidR="00DE2C1F">
        <w:rPr>
          <w:sz w:val="28"/>
          <w:szCs w:val="28"/>
        </w:rPr>
        <w:t>:</w:t>
      </w:r>
    </w:p>
    <w:p w:rsidR="001A0135" w:rsidRDefault="001A0135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novela by neměla dále komplikovat a zejména prodlužovat proces posuzování vlivů na životní prostředí v případě přípravy liniových staveb a dalších rozsáhlých investičních akcích,</w:t>
      </w:r>
    </w:p>
    <w:p w:rsidR="001A0135" w:rsidRPr="001A0135" w:rsidRDefault="001A0135" w:rsidP="00DE2C1F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před projednáním novely ve vládě by mělo být řádně ověřeno, že existuje naprostý soulad mezi</w:t>
      </w:r>
      <w:r w:rsidR="000E52C2">
        <w:rPr>
          <w:sz w:val="28"/>
          <w:szCs w:val="28"/>
        </w:rPr>
        <w:t xml:space="preserve"> </w:t>
      </w:r>
      <w:r>
        <w:rPr>
          <w:sz w:val="28"/>
          <w:szCs w:val="28"/>
        </w:rPr>
        <w:t>navrženými změnami</w:t>
      </w:r>
      <w:r w:rsidR="000E52C2">
        <w:rPr>
          <w:sz w:val="28"/>
          <w:szCs w:val="28"/>
        </w:rPr>
        <w:t xml:space="preserve"> ze strany </w:t>
      </w:r>
      <w:proofErr w:type="spellStart"/>
      <w:r w:rsidR="000E52C2">
        <w:rPr>
          <w:sz w:val="28"/>
          <w:szCs w:val="28"/>
        </w:rPr>
        <w:t>MŽP</w:t>
      </w:r>
      <w:proofErr w:type="spellEnd"/>
      <w:r w:rsidR="000E52C2">
        <w:rPr>
          <w:sz w:val="28"/>
          <w:szCs w:val="28"/>
        </w:rPr>
        <w:t xml:space="preserve">, </w:t>
      </w:r>
      <w:proofErr w:type="spellStart"/>
      <w:r w:rsidR="000E52C2">
        <w:rPr>
          <w:sz w:val="28"/>
          <w:szCs w:val="28"/>
        </w:rPr>
        <w:t>MMR</w:t>
      </w:r>
      <w:proofErr w:type="spellEnd"/>
      <w:r w:rsidR="000E52C2">
        <w:rPr>
          <w:sz w:val="28"/>
          <w:szCs w:val="28"/>
        </w:rPr>
        <w:t xml:space="preserve">, </w:t>
      </w:r>
      <w:proofErr w:type="spellStart"/>
      <w:r w:rsidR="000E52C2">
        <w:rPr>
          <w:sz w:val="28"/>
          <w:szCs w:val="28"/>
        </w:rPr>
        <w:t>MSp</w:t>
      </w:r>
      <w:proofErr w:type="spellEnd"/>
      <w:r>
        <w:rPr>
          <w:sz w:val="28"/>
          <w:szCs w:val="28"/>
        </w:rPr>
        <w:t xml:space="preserve"> a</w:t>
      </w:r>
      <w:r w:rsidR="00DE2C1F">
        <w:rPr>
          <w:sz w:val="28"/>
          <w:szCs w:val="28"/>
        </w:rPr>
        <w:t> </w:t>
      </w:r>
      <w:r w:rsidR="000E52C2">
        <w:rPr>
          <w:sz w:val="28"/>
          <w:szCs w:val="28"/>
        </w:rPr>
        <w:t>platnou</w:t>
      </w:r>
      <w:r>
        <w:rPr>
          <w:sz w:val="28"/>
          <w:szCs w:val="28"/>
        </w:rPr>
        <w:t xml:space="preserve"> unijní legislativou</w:t>
      </w:r>
      <w:r w:rsidR="000E52C2">
        <w:rPr>
          <w:sz w:val="28"/>
          <w:szCs w:val="28"/>
        </w:rPr>
        <w:t>.</w:t>
      </w:r>
    </w:p>
    <w:p w:rsidR="00DE2C1F" w:rsidRDefault="00DE2C1F" w:rsidP="00DE2C1F">
      <w:pPr>
        <w:spacing w:before="240" w:after="6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návrhu novely </w:t>
      </w:r>
      <w:r w:rsidRPr="00DE2C1F">
        <w:rPr>
          <w:sz w:val="28"/>
          <w:szCs w:val="28"/>
        </w:rPr>
        <w:t>zákona č. 100/2001 Sb. o posuzování vlivů na životní prostředí</w:t>
      </w:r>
      <w:r>
        <w:rPr>
          <w:sz w:val="28"/>
          <w:szCs w:val="28"/>
        </w:rPr>
        <w:t xml:space="preserve"> má ČPS následující připomínky:</w:t>
      </w:r>
    </w:p>
    <w:p w:rsidR="00DE2C1F" w:rsidRPr="00DE2C1F" w:rsidRDefault="00DE2C1F" w:rsidP="00DE2C1F">
      <w:pPr>
        <w:pStyle w:val="Odstavecseseznamem"/>
        <w:keepNext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sz w:val="28"/>
          <w:szCs w:val="28"/>
          <w:u w:val="single"/>
        </w:rPr>
      </w:pPr>
      <w:r w:rsidRPr="00DE2C1F">
        <w:rPr>
          <w:sz w:val="28"/>
          <w:szCs w:val="28"/>
          <w:u w:val="single"/>
        </w:rPr>
        <w:t>obecná připomínka</w:t>
      </w:r>
    </w:p>
    <w:p w:rsidR="00DE2C1F" w:rsidRPr="00DE2C1F" w:rsidRDefault="00DE2C1F" w:rsidP="00DE2C1F">
      <w:pPr>
        <w:tabs>
          <w:tab w:val="left" w:pos="567"/>
        </w:tabs>
        <w:spacing w:after="0" w:line="240" w:lineRule="auto"/>
        <w:ind w:left="567"/>
        <w:jc w:val="both"/>
        <w:rPr>
          <w:sz w:val="28"/>
          <w:szCs w:val="28"/>
        </w:rPr>
      </w:pPr>
      <w:r w:rsidRPr="00DE2C1F">
        <w:rPr>
          <w:sz w:val="28"/>
          <w:szCs w:val="28"/>
        </w:rPr>
        <w:t>Návrh nepředstavuje implementaci požadavků směrnice č. 2011/92/EU (dále jen: „směrnice“), ale jde daleko za rámec těchto požadavků, přičemž návrh používá celou řadu pojmů a konstrukcí, kterých nejasné vymezení by v případě přijetí navrhované úpravy při praktické aplikaci mělo za následek stav právní nejistoty při realizace strategických záměrů (který budou v zásadě vždy podmíněny posouzením vlivů na životní prostředí).</w:t>
      </w:r>
    </w:p>
    <w:p w:rsidR="00DE2C1F" w:rsidRPr="00DE2C1F" w:rsidRDefault="00DE2C1F" w:rsidP="00DE2C1F">
      <w:pPr>
        <w:tabs>
          <w:tab w:val="left" w:pos="567"/>
        </w:tabs>
        <w:spacing w:after="0" w:line="240" w:lineRule="auto"/>
        <w:ind w:left="567"/>
        <w:jc w:val="both"/>
        <w:rPr>
          <w:sz w:val="28"/>
          <w:szCs w:val="28"/>
        </w:rPr>
      </w:pPr>
      <w:r w:rsidRPr="00DE2C1F">
        <w:rPr>
          <w:sz w:val="28"/>
          <w:szCs w:val="28"/>
        </w:rPr>
        <w:t xml:space="preserve">Typickým příkladem takového nejasného vymezení je použitý pojem „navazující řízení“, který může v praxi implikovat použití ustanovení §§ </w:t>
      </w:r>
      <w:proofErr w:type="spellStart"/>
      <w:r w:rsidRPr="00DE2C1F">
        <w:rPr>
          <w:sz w:val="28"/>
          <w:szCs w:val="28"/>
        </w:rPr>
        <w:t>10a</w:t>
      </w:r>
      <w:proofErr w:type="spellEnd"/>
      <w:r w:rsidRPr="00DE2C1F">
        <w:rPr>
          <w:sz w:val="28"/>
          <w:szCs w:val="28"/>
        </w:rPr>
        <w:t xml:space="preserve"> </w:t>
      </w:r>
      <w:proofErr w:type="spellStart"/>
      <w:r w:rsidRPr="00DE2C1F">
        <w:rPr>
          <w:sz w:val="28"/>
          <w:szCs w:val="28"/>
        </w:rPr>
        <w:t>an</w:t>
      </w:r>
      <w:proofErr w:type="spellEnd"/>
      <w:r w:rsidRPr="00DE2C1F">
        <w:rPr>
          <w:sz w:val="28"/>
          <w:szCs w:val="28"/>
        </w:rPr>
        <w:t xml:space="preserve">. </w:t>
      </w:r>
      <w:proofErr w:type="gramStart"/>
      <w:r w:rsidRPr="00DE2C1F">
        <w:rPr>
          <w:sz w:val="28"/>
          <w:szCs w:val="28"/>
        </w:rPr>
        <w:t>na</w:t>
      </w:r>
      <w:proofErr w:type="gramEnd"/>
      <w:r w:rsidRPr="00DE2C1F">
        <w:rPr>
          <w:sz w:val="28"/>
          <w:szCs w:val="28"/>
        </w:rPr>
        <w:t xml:space="preserve"> veškerá správní řízení, které je nutno provést za účelem realizace záměru. Praktickým následkem navrhované konstrukce by byla paralýza investiční výstavby strategických zámě</w:t>
      </w:r>
      <w:r>
        <w:rPr>
          <w:sz w:val="28"/>
          <w:szCs w:val="28"/>
        </w:rPr>
        <w:t>rů (energetika, doprava atd.) a </w:t>
      </w:r>
      <w:r w:rsidRPr="00DE2C1F">
        <w:rPr>
          <w:sz w:val="28"/>
          <w:szCs w:val="28"/>
        </w:rPr>
        <w:t>právní nejistota investorů. Proto navrhujeme, aby se česká legislativa držela striktně požadavků směrnice a ne</w:t>
      </w:r>
      <w:r>
        <w:rPr>
          <w:sz w:val="28"/>
          <w:szCs w:val="28"/>
        </w:rPr>
        <w:t>zaváděla nadbytečné instituty a konstrukce.</w:t>
      </w:r>
    </w:p>
    <w:p w:rsidR="004A6E7C" w:rsidRDefault="00DE2C1F" w:rsidP="00DE2C1F">
      <w:pPr>
        <w:tabs>
          <w:tab w:val="left" w:pos="567"/>
        </w:tabs>
        <w:spacing w:after="0" w:line="240" w:lineRule="auto"/>
        <w:ind w:left="567"/>
        <w:jc w:val="both"/>
        <w:rPr>
          <w:sz w:val="28"/>
          <w:szCs w:val="28"/>
        </w:rPr>
      </w:pPr>
      <w:r w:rsidRPr="00DE2C1F">
        <w:rPr>
          <w:sz w:val="28"/>
          <w:szCs w:val="28"/>
        </w:rPr>
        <w:t>Níže uvedené připomínky mají za cíl implementovat směrnici korektně, se zachováním účelu a smyslu, který směrnice sleduje a s tím, aby nebyly do českého právního řádu přinášeny další deformace a nejasnosti.</w:t>
      </w:r>
    </w:p>
    <w:p w:rsidR="00DE2C1F" w:rsidRPr="00DE2C1F" w:rsidRDefault="00DE2C1F" w:rsidP="00DE2C1F">
      <w:pPr>
        <w:pStyle w:val="Odstavecseseznamem"/>
        <w:keepNext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8" w:hanging="284"/>
        <w:contextualSpacing w:val="0"/>
        <w:jc w:val="both"/>
        <w:rPr>
          <w:sz w:val="28"/>
          <w:szCs w:val="28"/>
          <w:u w:val="single"/>
        </w:rPr>
      </w:pPr>
      <w:r w:rsidRPr="00DE2C1F">
        <w:rPr>
          <w:sz w:val="28"/>
          <w:szCs w:val="28"/>
          <w:u w:val="single"/>
        </w:rPr>
        <w:t>zásadní připomínky</w:t>
      </w:r>
    </w:p>
    <w:p w:rsidR="00DE2C1F" w:rsidRDefault="00DE2C1F" w:rsidP="00DE2C1F">
      <w:pPr>
        <w:pStyle w:val="Odstavecseseznamem"/>
        <w:numPr>
          <w:ilvl w:val="0"/>
          <w:numId w:val="4"/>
        </w:numPr>
        <w:spacing w:before="200" w:after="0" w:line="240" w:lineRule="auto"/>
        <w:ind w:left="714" w:hanging="357"/>
        <w:contextualSpacing w:val="0"/>
        <w:jc w:val="both"/>
        <w:rPr>
          <w:iCs/>
          <w:sz w:val="28"/>
          <w:szCs w:val="28"/>
        </w:rPr>
      </w:pPr>
      <w:r w:rsidRPr="00DE2C1F">
        <w:rPr>
          <w:sz w:val="28"/>
          <w:szCs w:val="28"/>
        </w:rPr>
        <w:t>§ 3 písm.</w:t>
      </w:r>
      <w:r>
        <w:rPr>
          <w:sz w:val="28"/>
          <w:szCs w:val="28"/>
        </w:rPr>
        <w:t xml:space="preserve"> </w:t>
      </w:r>
      <w:r w:rsidRPr="00DE2C1F">
        <w:rPr>
          <w:sz w:val="28"/>
          <w:szCs w:val="28"/>
        </w:rPr>
        <w:t xml:space="preserve">g) vymezuje pojem „navazující řízení“, přičemž jej definuje jako </w:t>
      </w:r>
      <w:r w:rsidRPr="00DE2C1F">
        <w:rPr>
          <w:iCs/>
          <w:sz w:val="28"/>
          <w:szCs w:val="28"/>
        </w:rPr>
        <w:t xml:space="preserve">takové řízení, ve kterém se vydává rozhodnutí podle zvláštních právních </w:t>
      </w:r>
      <w:proofErr w:type="spellStart"/>
      <w:r w:rsidRPr="00DE2C1F">
        <w:rPr>
          <w:iCs/>
          <w:sz w:val="28"/>
          <w:szCs w:val="28"/>
        </w:rPr>
        <w:t>předpisů</w:t>
      </w:r>
      <w:r w:rsidRPr="00DE2C1F">
        <w:rPr>
          <w:iCs/>
          <w:sz w:val="28"/>
          <w:szCs w:val="28"/>
          <w:vertAlign w:val="superscript"/>
        </w:rPr>
        <w:t>1a</w:t>
      </w:r>
      <w:proofErr w:type="spellEnd"/>
      <w:r w:rsidRPr="00DE2C1F">
        <w:rPr>
          <w:iCs/>
          <w:sz w:val="28"/>
          <w:szCs w:val="28"/>
        </w:rPr>
        <w:t xml:space="preserve">, které směřuje k povolení záměru posuzovaného podle tohoto zákona a které je podmíněno závazným stanoviskem k posouzení vlivů </w:t>
      </w:r>
      <w:r w:rsidRPr="00DE2C1F">
        <w:rPr>
          <w:iCs/>
          <w:sz w:val="28"/>
          <w:szCs w:val="28"/>
        </w:rPr>
        <w:lastRenderedPageBreak/>
        <w:t>provedení záměru na životní prostředí podle § 149 správního řádu (§ 10 odst. 1).</w:t>
      </w:r>
    </w:p>
    <w:p w:rsidR="00DE2C1F" w:rsidRPr="00DE2C1F" w:rsidRDefault="00DE2C1F" w:rsidP="00DE2C1F">
      <w:pPr>
        <w:spacing w:after="0" w:line="240" w:lineRule="auto"/>
        <w:ind w:left="709"/>
        <w:jc w:val="both"/>
        <w:rPr>
          <w:sz w:val="28"/>
          <w:szCs w:val="28"/>
        </w:rPr>
      </w:pPr>
      <w:r w:rsidRPr="00DE2C1F">
        <w:rPr>
          <w:iCs/>
          <w:sz w:val="28"/>
          <w:szCs w:val="28"/>
        </w:rPr>
        <w:t xml:space="preserve">Toto vymezení jde daleko nad rámec požadavků směrnice a jeho přijetí by mělo za následek, že ustanovení §§ </w:t>
      </w:r>
      <w:proofErr w:type="spellStart"/>
      <w:r w:rsidRPr="00DE2C1F">
        <w:rPr>
          <w:iCs/>
          <w:sz w:val="28"/>
          <w:szCs w:val="28"/>
        </w:rPr>
        <w:t>10a</w:t>
      </w:r>
      <w:proofErr w:type="spellEnd"/>
      <w:r w:rsidRPr="00DE2C1F">
        <w:rPr>
          <w:iCs/>
          <w:sz w:val="28"/>
          <w:szCs w:val="28"/>
        </w:rPr>
        <w:t xml:space="preserve"> a </w:t>
      </w:r>
      <w:proofErr w:type="spellStart"/>
      <w:r w:rsidRPr="00DE2C1F">
        <w:rPr>
          <w:iCs/>
          <w:sz w:val="28"/>
          <w:szCs w:val="28"/>
        </w:rPr>
        <w:t>nasl</w:t>
      </w:r>
      <w:proofErr w:type="spellEnd"/>
      <w:r w:rsidRPr="00DE2C1F">
        <w:rPr>
          <w:iCs/>
          <w:sz w:val="28"/>
          <w:szCs w:val="28"/>
        </w:rPr>
        <w:t>. by byla aplikovatelná i na celou řadu dalších řízení, které neodpovídají vymezení pojmu „povolení“ v čl. 1 odst. 2 písm. c) směrnice.</w:t>
      </w:r>
    </w:p>
    <w:p w:rsidR="00DE2C1F" w:rsidRPr="00DE2C1F" w:rsidRDefault="00DE2C1F" w:rsidP="00DE2C1F">
      <w:pPr>
        <w:keepNext/>
        <w:spacing w:before="120" w:after="0" w:line="240" w:lineRule="auto"/>
        <w:ind w:left="709"/>
        <w:jc w:val="both"/>
        <w:rPr>
          <w:b/>
          <w:sz w:val="28"/>
          <w:szCs w:val="28"/>
        </w:rPr>
      </w:pPr>
      <w:r w:rsidRPr="00DE2C1F">
        <w:rPr>
          <w:b/>
          <w:sz w:val="28"/>
          <w:szCs w:val="28"/>
        </w:rPr>
        <w:t>Odůvodnění:</w:t>
      </w:r>
    </w:p>
    <w:p w:rsidR="00DE2C1F" w:rsidRDefault="00DE2C1F" w:rsidP="00DE2C1F">
      <w:pPr>
        <w:spacing w:after="0" w:line="240" w:lineRule="auto"/>
        <w:ind w:left="709"/>
        <w:jc w:val="both"/>
        <w:rPr>
          <w:iCs/>
          <w:sz w:val="28"/>
          <w:szCs w:val="28"/>
        </w:rPr>
      </w:pPr>
      <w:r w:rsidRPr="00DE2C1F">
        <w:rPr>
          <w:iCs/>
          <w:sz w:val="28"/>
          <w:szCs w:val="28"/>
        </w:rPr>
        <w:t xml:space="preserve">Přijetí navrhovaného ustanovení by mělo za následek aplikaci ustanovení § </w:t>
      </w:r>
      <w:proofErr w:type="spellStart"/>
      <w:r w:rsidRPr="00DE2C1F">
        <w:rPr>
          <w:iCs/>
          <w:sz w:val="28"/>
          <w:szCs w:val="28"/>
        </w:rPr>
        <w:t>10a</w:t>
      </w:r>
      <w:proofErr w:type="spellEnd"/>
      <w:r w:rsidRPr="00DE2C1F">
        <w:rPr>
          <w:iCs/>
          <w:sz w:val="28"/>
          <w:szCs w:val="28"/>
        </w:rPr>
        <w:t xml:space="preserve"> a </w:t>
      </w:r>
      <w:proofErr w:type="spellStart"/>
      <w:r w:rsidRPr="00DE2C1F">
        <w:rPr>
          <w:iCs/>
          <w:sz w:val="28"/>
          <w:szCs w:val="28"/>
        </w:rPr>
        <w:t>nasl</w:t>
      </w:r>
      <w:proofErr w:type="spellEnd"/>
      <w:r w:rsidRPr="00DE2C1F">
        <w:rPr>
          <w:iCs/>
          <w:sz w:val="28"/>
          <w:szCs w:val="28"/>
        </w:rPr>
        <w:t xml:space="preserve">. i na celou řadu řízení, ve kterých ovšem není posuzování vlivů na životní prostředí požadováno, protože již bylo realizováno v předcházející </w:t>
      </w:r>
      <w:proofErr w:type="spellStart"/>
      <w:r w:rsidRPr="00DE2C1F">
        <w:rPr>
          <w:iCs/>
          <w:sz w:val="28"/>
          <w:szCs w:val="28"/>
        </w:rPr>
        <w:t>fázy</w:t>
      </w:r>
      <w:proofErr w:type="spellEnd"/>
      <w:r w:rsidRPr="00DE2C1F">
        <w:rPr>
          <w:iCs/>
          <w:sz w:val="28"/>
          <w:szCs w:val="28"/>
        </w:rPr>
        <w:t xml:space="preserve"> rozhodovacího procesu (např. řízení o předčasném užívání stavby, řízení o zkušebním provozu, změna stavby před dokončením atd.). To jde zcela nad rámec požadavků, zakotvených v čl. 6 směrnice.</w:t>
      </w:r>
    </w:p>
    <w:p w:rsidR="00DE2C1F" w:rsidRPr="00DE2C1F" w:rsidRDefault="00DE2C1F" w:rsidP="00DE2C1F">
      <w:pPr>
        <w:pStyle w:val="Odstavecseseznamem"/>
        <w:numPr>
          <w:ilvl w:val="0"/>
          <w:numId w:val="4"/>
        </w:numPr>
        <w:spacing w:before="200" w:after="0" w:line="240" w:lineRule="auto"/>
        <w:ind w:left="714" w:hanging="357"/>
        <w:jc w:val="both"/>
        <w:rPr>
          <w:sz w:val="28"/>
          <w:szCs w:val="28"/>
        </w:rPr>
      </w:pPr>
      <w:r w:rsidRPr="00DE2C1F">
        <w:rPr>
          <w:sz w:val="28"/>
          <w:szCs w:val="28"/>
        </w:rPr>
        <w:t>§ 10 odst. 5) stanovuje, že k žádosti o vydání rozhodnutí v navazujícím řízení žadatel připojí souhlasné závazné stanovisko … (dále jen „závazné stanovisko“), ve kterém příslušný úřad ověří soul</w:t>
      </w:r>
      <w:r>
        <w:rPr>
          <w:sz w:val="28"/>
          <w:szCs w:val="28"/>
        </w:rPr>
        <w:t>ad žádosti o vydání rozhodnutí…</w:t>
      </w:r>
    </w:p>
    <w:p w:rsidR="00DE2C1F" w:rsidRPr="00DE2C1F" w:rsidRDefault="00DE2C1F" w:rsidP="00DE2C1F">
      <w:pPr>
        <w:spacing w:after="0" w:line="240" w:lineRule="auto"/>
        <w:ind w:left="709"/>
        <w:jc w:val="both"/>
        <w:rPr>
          <w:iCs/>
          <w:sz w:val="28"/>
          <w:szCs w:val="28"/>
        </w:rPr>
      </w:pPr>
      <w:r w:rsidRPr="00DE2C1F">
        <w:rPr>
          <w:iCs/>
          <w:sz w:val="28"/>
          <w:szCs w:val="28"/>
        </w:rPr>
        <w:t>§ 10 odst. 6) stanovuje, že příslušný úřad vydá souhlasné závazné stanovisko … - vypustit</w:t>
      </w:r>
      <w:r>
        <w:rPr>
          <w:iCs/>
          <w:sz w:val="28"/>
          <w:szCs w:val="28"/>
        </w:rPr>
        <w:t>.</w:t>
      </w:r>
    </w:p>
    <w:p w:rsidR="00DE2C1F" w:rsidRPr="00DE2C1F" w:rsidRDefault="00DE2C1F" w:rsidP="00DE2C1F">
      <w:pPr>
        <w:keepNext/>
        <w:spacing w:before="120" w:after="0" w:line="240" w:lineRule="auto"/>
        <w:ind w:left="709"/>
        <w:jc w:val="both"/>
        <w:rPr>
          <w:b/>
          <w:sz w:val="28"/>
          <w:szCs w:val="28"/>
        </w:rPr>
      </w:pPr>
      <w:r w:rsidRPr="00DE2C1F">
        <w:rPr>
          <w:b/>
          <w:sz w:val="28"/>
          <w:szCs w:val="28"/>
        </w:rPr>
        <w:t>Odůvodnění:</w:t>
      </w:r>
    </w:p>
    <w:p w:rsidR="00DE2C1F" w:rsidRDefault="00DE2C1F" w:rsidP="00DE2C1F">
      <w:pPr>
        <w:spacing w:after="0" w:line="240" w:lineRule="auto"/>
        <w:ind w:left="709"/>
        <w:jc w:val="both"/>
        <w:rPr>
          <w:iCs/>
          <w:sz w:val="28"/>
          <w:szCs w:val="28"/>
        </w:rPr>
      </w:pPr>
      <w:r w:rsidRPr="00DE2C1F">
        <w:rPr>
          <w:iCs/>
          <w:sz w:val="28"/>
          <w:szCs w:val="28"/>
        </w:rPr>
        <w:t>Odstavce 5) a 6) neodpovídají smyslu Čl. 5 Směrnice, neobsahují lhůtu pro vydání stanoviska, neřeší</w:t>
      </w:r>
      <w:r>
        <w:rPr>
          <w:iCs/>
          <w:sz w:val="28"/>
          <w:szCs w:val="28"/>
        </w:rPr>
        <w:t>,</w:t>
      </w:r>
      <w:r w:rsidRPr="00DE2C1F">
        <w:rPr>
          <w:iCs/>
          <w:sz w:val="28"/>
          <w:szCs w:val="28"/>
        </w:rPr>
        <w:t xml:space="preserve"> jaký bu</w:t>
      </w:r>
      <w:r>
        <w:rPr>
          <w:iCs/>
          <w:sz w:val="28"/>
          <w:szCs w:val="28"/>
        </w:rPr>
        <w:t>de postup v případě, že dojde k </w:t>
      </w:r>
      <w:r w:rsidRPr="00DE2C1F">
        <w:rPr>
          <w:iCs/>
          <w:sz w:val="28"/>
          <w:szCs w:val="28"/>
        </w:rPr>
        <w:t>podstatným změnám realizace záměru. Navíc zajišťování dalšího „závazného stanoviska“ nedává smysl a řízení bude prodlužovat.</w:t>
      </w:r>
    </w:p>
    <w:p w:rsidR="00DE2C1F" w:rsidRDefault="00DE2C1F" w:rsidP="00DE2C1F">
      <w:pPr>
        <w:pStyle w:val="Odstavecseseznamem"/>
        <w:numPr>
          <w:ilvl w:val="0"/>
          <w:numId w:val="4"/>
        </w:numPr>
        <w:spacing w:before="200" w:after="0" w:line="240" w:lineRule="auto"/>
        <w:ind w:left="714" w:hanging="357"/>
        <w:jc w:val="both"/>
        <w:rPr>
          <w:sz w:val="28"/>
          <w:szCs w:val="28"/>
        </w:rPr>
      </w:pPr>
      <w:r w:rsidRPr="00DE2C1F">
        <w:rPr>
          <w:sz w:val="28"/>
          <w:szCs w:val="28"/>
        </w:rPr>
        <w:t xml:space="preserve">§ </w:t>
      </w:r>
      <w:proofErr w:type="spellStart"/>
      <w:r w:rsidRPr="00DE2C1F">
        <w:rPr>
          <w:sz w:val="28"/>
          <w:szCs w:val="28"/>
        </w:rPr>
        <w:t>10a</w:t>
      </w:r>
      <w:proofErr w:type="spellEnd"/>
      <w:r w:rsidRPr="00DE2C1F">
        <w:rPr>
          <w:sz w:val="28"/>
          <w:szCs w:val="28"/>
        </w:rPr>
        <w:t xml:space="preserve"> odst. 5) stanovuje, že v „navazujících řízeních“ se má doručovat dle § 144 odst. 6 </w:t>
      </w:r>
      <w:proofErr w:type="spellStart"/>
      <w:r w:rsidRPr="00DE2C1F">
        <w:rPr>
          <w:sz w:val="28"/>
          <w:szCs w:val="28"/>
        </w:rPr>
        <w:t>SpŘ</w:t>
      </w:r>
      <w:proofErr w:type="spellEnd"/>
      <w:r>
        <w:rPr>
          <w:sz w:val="28"/>
          <w:szCs w:val="28"/>
        </w:rPr>
        <w:t>.</w:t>
      </w:r>
    </w:p>
    <w:p w:rsidR="00DE2C1F" w:rsidRPr="00DE2C1F" w:rsidRDefault="00DE2C1F" w:rsidP="00DE2C1F">
      <w:pPr>
        <w:keepNext/>
        <w:spacing w:before="120" w:after="0" w:line="240" w:lineRule="auto"/>
        <w:ind w:left="709"/>
        <w:jc w:val="both"/>
        <w:rPr>
          <w:b/>
          <w:sz w:val="28"/>
          <w:szCs w:val="28"/>
        </w:rPr>
      </w:pPr>
      <w:r w:rsidRPr="00DE2C1F">
        <w:rPr>
          <w:b/>
          <w:sz w:val="28"/>
          <w:szCs w:val="28"/>
        </w:rPr>
        <w:t>Odůvodnění:</w:t>
      </w:r>
    </w:p>
    <w:p w:rsidR="00DE2C1F" w:rsidRDefault="00DE2C1F" w:rsidP="00DE2C1F">
      <w:pPr>
        <w:spacing w:after="0" w:line="240" w:lineRule="auto"/>
        <w:ind w:left="709"/>
        <w:jc w:val="both"/>
        <w:rPr>
          <w:iCs/>
          <w:sz w:val="28"/>
          <w:szCs w:val="28"/>
        </w:rPr>
      </w:pPr>
      <w:r w:rsidRPr="00DE2C1F">
        <w:rPr>
          <w:iCs/>
          <w:sz w:val="28"/>
          <w:szCs w:val="28"/>
        </w:rPr>
        <w:t xml:space="preserve">Navrhované ustanovení by mělo za následek, že v případě, že právní předpis spojuje s právní mocí rozhodnutí vznik ochranného, resp. bezpečnostního pásma, mělo by se toto rozhodnutí doručovat všem vlastníkům, jichž se vznik tohoto pásma týká, do vlastních rukou (bude se jednat o účastníky ve smyslu § 27 odst. 1 </w:t>
      </w:r>
      <w:proofErr w:type="spellStart"/>
      <w:r w:rsidRPr="00DE2C1F">
        <w:rPr>
          <w:iCs/>
          <w:sz w:val="28"/>
          <w:szCs w:val="28"/>
        </w:rPr>
        <w:t>SpŘ</w:t>
      </w:r>
      <w:proofErr w:type="spellEnd"/>
      <w:r w:rsidRPr="00DE2C1F">
        <w:rPr>
          <w:iCs/>
          <w:sz w:val="28"/>
          <w:szCs w:val="28"/>
        </w:rPr>
        <w:t>). To by mělo v případě umisťování staveb plynárenských zařízení za následek nutnost doručovat několikasetstránkové rozhodnutí stovkám/tisícům osob.</w:t>
      </w:r>
    </w:p>
    <w:p w:rsidR="00DE2C1F" w:rsidRDefault="00DE2C1F" w:rsidP="00DE2C1F">
      <w:pPr>
        <w:pStyle w:val="Odstavecseseznamem"/>
        <w:numPr>
          <w:ilvl w:val="0"/>
          <w:numId w:val="4"/>
        </w:numPr>
        <w:spacing w:before="200" w:after="0" w:line="240" w:lineRule="auto"/>
        <w:ind w:left="714" w:hanging="357"/>
        <w:jc w:val="both"/>
        <w:rPr>
          <w:sz w:val="28"/>
          <w:szCs w:val="28"/>
        </w:rPr>
      </w:pPr>
      <w:r w:rsidRPr="00DE2C1F">
        <w:rPr>
          <w:sz w:val="28"/>
          <w:szCs w:val="28"/>
        </w:rPr>
        <w:t xml:space="preserve">§ </w:t>
      </w:r>
      <w:proofErr w:type="spellStart"/>
      <w:r w:rsidRPr="00DE2C1F">
        <w:rPr>
          <w:sz w:val="28"/>
          <w:szCs w:val="28"/>
        </w:rPr>
        <w:t>10b</w:t>
      </w:r>
      <w:proofErr w:type="spellEnd"/>
      <w:r w:rsidRPr="00DE2C1F">
        <w:rPr>
          <w:sz w:val="28"/>
          <w:szCs w:val="28"/>
        </w:rPr>
        <w:t xml:space="preserve"> odst. 1) stanovuje, že každý může v navazujícím řízení uplatňovat připomínky k záměru – vymezit okruh osob na osoby dle § </w:t>
      </w:r>
      <w:proofErr w:type="spellStart"/>
      <w:r w:rsidRPr="00DE2C1F">
        <w:rPr>
          <w:sz w:val="28"/>
          <w:szCs w:val="28"/>
        </w:rPr>
        <w:t>10b</w:t>
      </w:r>
      <w:proofErr w:type="spellEnd"/>
      <w:r w:rsidRPr="00DE2C1F">
        <w:rPr>
          <w:sz w:val="28"/>
          <w:szCs w:val="28"/>
        </w:rPr>
        <w:t xml:space="preserve"> odst. 3</w:t>
      </w:r>
      <w:r>
        <w:rPr>
          <w:sz w:val="28"/>
          <w:szCs w:val="28"/>
        </w:rPr>
        <w:t>.</w:t>
      </w:r>
    </w:p>
    <w:p w:rsidR="00DE2C1F" w:rsidRPr="00DE2C1F" w:rsidRDefault="00DE2C1F" w:rsidP="00DE2C1F">
      <w:pPr>
        <w:keepNext/>
        <w:spacing w:before="120" w:after="0" w:line="240" w:lineRule="auto"/>
        <w:ind w:left="709"/>
        <w:jc w:val="both"/>
        <w:rPr>
          <w:b/>
          <w:sz w:val="28"/>
          <w:szCs w:val="28"/>
        </w:rPr>
      </w:pPr>
      <w:r w:rsidRPr="00DE2C1F">
        <w:rPr>
          <w:b/>
          <w:sz w:val="28"/>
          <w:szCs w:val="28"/>
        </w:rPr>
        <w:lastRenderedPageBreak/>
        <w:t>Odůvodnění:</w:t>
      </w:r>
    </w:p>
    <w:p w:rsidR="00DE2C1F" w:rsidRPr="00DE2C1F" w:rsidRDefault="00DE2C1F" w:rsidP="00DE2C1F">
      <w:pPr>
        <w:spacing w:after="0" w:line="240" w:lineRule="auto"/>
        <w:ind w:left="709"/>
        <w:jc w:val="both"/>
        <w:rPr>
          <w:iCs/>
          <w:sz w:val="28"/>
          <w:szCs w:val="28"/>
        </w:rPr>
      </w:pPr>
      <w:r w:rsidRPr="00DE2C1F">
        <w:rPr>
          <w:iCs/>
          <w:sz w:val="28"/>
          <w:szCs w:val="28"/>
        </w:rPr>
        <w:t>Takto vymezený okruh osob, které by mohly uplatňovat připomínky (tj. každý…) je v rozporu např. se stavebním zákonem, který pro různé druhy řízení stanoví specifický okruh účastníků. Je nejasné, který právní předpis by měl status přednosti (stavební zákon nebo zákon o posuzování vlivů).</w:t>
      </w:r>
    </w:p>
    <w:p w:rsidR="00DE2C1F" w:rsidRPr="00DE2C1F" w:rsidRDefault="00DE2C1F" w:rsidP="00DE2C1F">
      <w:pPr>
        <w:pStyle w:val="Odstavecseseznamem"/>
        <w:numPr>
          <w:ilvl w:val="0"/>
          <w:numId w:val="4"/>
        </w:numPr>
        <w:spacing w:before="200" w:after="0" w:line="240" w:lineRule="auto"/>
        <w:ind w:left="714" w:hanging="357"/>
        <w:jc w:val="both"/>
        <w:rPr>
          <w:sz w:val="28"/>
          <w:szCs w:val="28"/>
        </w:rPr>
      </w:pPr>
      <w:r w:rsidRPr="00DE2C1F">
        <w:rPr>
          <w:sz w:val="28"/>
          <w:szCs w:val="28"/>
        </w:rPr>
        <w:t xml:space="preserve">§ </w:t>
      </w:r>
      <w:proofErr w:type="spellStart"/>
      <w:r w:rsidRPr="00DE2C1F">
        <w:rPr>
          <w:sz w:val="28"/>
          <w:szCs w:val="28"/>
        </w:rPr>
        <w:t>10b</w:t>
      </w:r>
      <w:proofErr w:type="spellEnd"/>
      <w:r w:rsidRPr="00DE2C1F">
        <w:rPr>
          <w:sz w:val="28"/>
          <w:szCs w:val="28"/>
        </w:rPr>
        <w:t xml:space="preserve"> odst. 3) stanovuje, že právnické osoby soukromého práva, které nebyly účastníkem řízení v prvním stupni, mohou podat odvolání</w:t>
      </w:r>
      <w:r>
        <w:rPr>
          <w:sz w:val="28"/>
          <w:szCs w:val="28"/>
        </w:rPr>
        <w:t>.</w:t>
      </w:r>
    </w:p>
    <w:p w:rsidR="00DE2C1F" w:rsidRPr="00DE2C1F" w:rsidRDefault="00DE2C1F" w:rsidP="00DE2C1F">
      <w:pPr>
        <w:spacing w:after="0" w:line="240" w:lineRule="auto"/>
        <w:ind w:left="709"/>
        <w:jc w:val="both"/>
        <w:rPr>
          <w:iCs/>
          <w:sz w:val="28"/>
          <w:szCs w:val="28"/>
        </w:rPr>
      </w:pPr>
      <w:r w:rsidRPr="00DE2C1F">
        <w:rPr>
          <w:iCs/>
          <w:sz w:val="28"/>
          <w:szCs w:val="28"/>
        </w:rPr>
        <w:t xml:space="preserve">§ </w:t>
      </w:r>
      <w:proofErr w:type="spellStart"/>
      <w:r w:rsidRPr="00DE2C1F">
        <w:rPr>
          <w:iCs/>
          <w:sz w:val="28"/>
          <w:szCs w:val="28"/>
        </w:rPr>
        <w:t>10b</w:t>
      </w:r>
      <w:proofErr w:type="spellEnd"/>
      <w:r w:rsidRPr="00DE2C1F">
        <w:rPr>
          <w:iCs/>
          <w:sz w:val="28"/>
          <w:szCs w:val="28"/>
        </w:rPr>
        <w:t xml:space="preserve"> odst. 4) stanovuje, že podáním odvolání se odvolatel stává účastníkem daného řízení</w:t>
      </w:r>
      <w:r>
        <w:rPr>
          <w:iCs/>
          <w:sz w:val="28"/>
          <w:szCs w:val="28"/>
        </w:rPr>
        <w:t>.</w:t>
      </w:r>
    </w:p>
    <w:p w:rsidR="00DE2C1F" w:rsidRPr="00DE2C1F" w:rsidRDefault="00DE2C1F" w:rsidP="00DE2C1F">
      <w:pPr>
        <w:keepNext/>
        <w:spacing w:before="120" w:after="0" w:line="240" w:lineRule="auto"/>
        <w:ind w:left="709"/>
        <w:jc w:val="both"/>
        <w:rPr>
          <w:b/>
          <w:sz w:val="28"/>
          <w:szCs w:val="28"/>
        </w:rPr>
      </w:pPr>
      <w:r w:rsidRPr="00DE2C1F">
        <w:rPr>
          <w:b/>
          <w:sz w:val="28"/>
          <w:szCs w:val="28"/>
        </w:rPr>
        <w:t>Odůvodnění:</w:t>
      </w:r>
    </w:p>
    <w:p w:rsidR="00DE2C1F" w:rsidRPr="00DE2C1F" w:rsidRDefault="00DE2C1F" w:rsidP="00DE2C1F">
      <w:pPr>
        <w:spacing w:after="0" w:line="240" w:lineRule="auto"/>
        <w:ind w:left="709"/>
        <w:jc w:val="both"/>
        <w:rPr>
          <w:iCs/>
          <w:sz w:val="28"/>
          <w:szCs w:val="28"/>
        </w:rPr>
      </w:pPr>
      <w:r w:rsidRPr="00DE2C1F">
        <w:rPr>
          <w:iCs/>
          <w:sz w:val="28"/>
          <w:szCs w:val="28"/>
        </w:rPr>
        <w:t xml:space="preserve">Návrh zavádí zcela kuriózní konstrukci, kdy se účastníkem subjekt stává teprve v okamžiku podání odvolání. Na odvolací řízení se ovšem budou vztahovat obecná ustanovení </w:t>
      </w:r>
      <w:proofErr w:type="spellStart"/>
      <w:r w:rsidRPr="00DE2C1F">
        <w:rPr>
          <w:iCs/>
          <w:sz w:val="28"/>
          <w:szCs w:val="28"/>
        </w:rPr>
        <w:t>SpŘ</w:t>
      </w:r>
      <w:proofErr w:type="spellEnd"/>
      <w:r w:rsidRPr="00DE2C1F">
        <w:rPr>
          <w:iCs/>
          <w:sz w:val="28"/>
          <w:szCs w:val="28"/>
        </w:rPr>
        <w:t>, která s účastenstvím v prvním stupni počítají. Návrh neřeší možné kolize mezi těmito ustanoveními.</w:t>
      </w:r>
    </w:p>
    <w:p w:rsidR="00DE2C1F" w:rsidRPr="00DE2C1F" w:rsidRDefault="00DE2C1F" w:rsidP="00DE2C1F">
      <w:pPr>
        <w:pStyle w:val="Odstavecseseznamem"/>
        <w:numPr>
          <w:ilvl w:val="0"/>
          <w:numId w:val="4"/>
        </w:numPr>
        <w:spacing w:before="200" w:after="0" w:line="240" w:lineRule="auto"/>
        <w:ind w:left="714" w:hanging="357"/>
        <w:jc w:val="both"/>
        <w:rPr>
          <w:sz w:val="28"/>
          <w:szCs w:val="28"/>
        </w:rPr>
      </w:pPr>
      <w:r w:rsidRPr="00DE2C1F">
        <w:rPr>
          <w:sz w:val="28"/>
          <w:szCs w:val="28"/>
        </w:rPr>
        <w:t xml:space="preserve">Změna zákona č. 183/2006 Sb. (§ </w:t>
      </w:r>
      <w:proofErr w:type="spellStart"/>
      <w:r w:rsidRPr="00DE2C1F">
        <w:rPr>
          <w:sz w:val="28"/>
          <w:szCs w:val="28"/>
        </w:rPr>
        <w:t>192a</w:t>
      </w:r>
      <w:proofErr w:type="spellEnd"/>
      <w:r w:rsidRPr="00DE2C1F">
        <w:rPr>
          <w:sz w:val="28"/>
          <w:szCs w:val="28"/>
        </w:rPr>
        <w:t xml:space="preserve">) má za cíl aplikovat §§ </w:t>
      </w:r>
      <w:proofErr w:type="spellStart"/>
      <w:r w:rsidRPr="00DE2C1F">
        <w:rPr>
          <w:sz w:val="28"/>
          <w:szCs w:val="28"/>
        </w:rPr>
        <w:t>10a</w:t>
      </w:r>
      <w:proofErr w:type="spellEnd"/>
      <w:r w:rsidRPr="00DE2C1F">
        <w:rPr>
          <w:sz w:val="28"/>
          <w:szCs w:val="28"/>
        </w:rPr>
        <w:t xml:space="preserve"> </w:t>
      </w:r>
      <w:proofErr w:type="spellStart"/>
      <w:r w:rsidRPr="00DE2C1F">
        <w:rPr>
          <w:sz w:val="28"/>
          <w:szCs w:val="28"/>
        </w:rPr>
        <w:t>an</w:t>
      </w:r>
      <w:proofErr w:type="spellEnd"/>
      <w:r w:rsidRPr="00DE2C1F">
        <w:rPr>
          <w:sz w:val="28"/>
          <w:szCs w:val="28"/>
        </w:rPr>
        <w:t>. i na případy, kdy byla jednotlivá rozhodnutí vydána před 1. 1. 2015.</w:t>
      </w:r>
    </w:p>
    <w:p w:rsidR="00DE2C1F" w:rsidRPr="00DE2C1F" w:rsidRDefault="00DE2C1F" w:rsidP="00DE2C1F">
      <w:pPr>
        <w:keepNext/>
        <w:spacing w:before="120" w:after="0" w:line="240" w:lineRule="auto"/>
        <w:ind w:left="709"/>
        <w:jc w:val="both"/>
        <w:rPr>
          <w:b/>
          <w:sz w:val="28"/>
          <w:szCs w:val="28"/>
        </w:rPr>
      </w:pPr>
      <w:r w:rsidRPr="00DE2C1F">
        <w:rPr>
          <w:b/>
          <w:sz w:val="28"/>
          <w:szCs w:val="28"/>
        </w:rPr>
        <w:t>Odůvodnění:</w:t>
      </w:r>
    </w:p>
    <w:p w:rsidR="00DE2C1F" w:rsidRDefault="00DE2C1F" w:rsidP="00DE2C1F">
      <w:pPr>
        <w:spacing w:after="0" w:line="240" w:lineRule="auto"/>
        <w:ind w:left="709"/>
        <w:jc w:val="both"/>
        <w:rPr>
          <w:iCs/>
          <w:sz w:val="28"/>
          <w:szCs w:val="28"/>
        </w:rPr>
      </w:pPr>
      <w:r w:rsidRPr="00DE2C1F">
        <w:rPr>
          <w:iCs/>
          <w:sz w:val="28"/>
          <w:szCs w:val="28"/>
        </w:rPr>
        <w:t>Ustanovení přináší právní nejistotu investorům, protože implikuje zcela zásadní změnu v povolovacích procesech v průběhu investičních procesů.</w:t>
      </w: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P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Praha 2</w:t>
      </w:r>
      <w:r>
        <w:rPr>
          <w:iCs/>
          <w:sz w:val="28"/>
          <w:szCs w:val="28"/>
        </w:rPr>
        <w:t>2</w:t>
      </w:r>
      <w:r w:rsidRPr="00690FFF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dubna </w:t>
      </w:r>
      <w:r w:rsidRPr="00690FFF">
        <w:rPr>
          <w:iCs/>
          <w:sz w:val="28"/>
          <w:szCs w:val="28"/>
        </w:rPr>
        <w:t>2014</w:t>
      </w:r>
    </w:p>
    <w:p w:rsidR="00690FFF" w:rsidRP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 xml:space="preserve">Za ČPS </w:t>
      </w:r>
    </w:p>
    <w:p w:rsidR="00690FFF" w:rsidRP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Ing. Jan Ruml</w:t>
      </w:r>
    </w:p>
    <w:p w:rsidR="00690FFF" w:rsidRDefault="00690FFF" w:rsidP="00690FFF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výkonný ředitel</w:t>
      </w:r>
    </w:p>
    <w:sectPr w:rsidR="00690FFF" w:rsidSect="00690FFF">
      <w:footerReference w:type="default" r:id="rId7"/>
      <w:headerReference w:type="first" r:id="rId8"/>
      <w:pgSz w:w="11906" w:h="16838" w:code="9"/>
      <w:pgMar w:top="1097" w:right="1418" w:bottom="851" w:left="1418" w:header="709" w:footer="4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08" w:rsidRDefault="00F32608" w:rsidP="00690FFF">
      <w:pPr>
        <w:spacing w:after="0" w:line="240" w:lineRule="auto"/>
      </w:pPr>
      <w:r>
        <w:separator/>
      </w:r>
    </w:p>
  </w:endnote>
  <w:endnote w:type="continuationSeparator" w:id="0">
    <w:p w:rsidR="00F32608" w:rsidRDefault="00F32608" w:rsidP="0069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8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90FFF" w:rsidRPr="00690FFF" w:rsidRDefault="00690FFF">
        <w:pPr>
          <w:pStyle w:val="Zpat"/>
          <w:jc w:val="center"/>
          <w:rPr>
            <w:sz w:val="28"/>
            <w:szCs w:val="28"/>
          </w:rPr>
        </w:pPr>
        <w:r w:rsidRPr="00690FFF">
          <w:rPr>
            <w:sz w:val="28"/>
            <w:szCs w:val="28"/>
          </w:rPr>
          <w:fldChar w:fldCharType="begin"/>
        </w:r>
        <w:r w:rsidRPr="00690FFF">
          <w:rPr>
            <w:sz w:val="28"/>
            <w:szCs w:val="28"/>
          </w:rPr>
          <w:instrText xml:space="preserve"> PAGE   \* MERGEFORMAT </w:instrText>
        </w:r>
        <w:r w:rsidRPr="00690FF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690FFF">
          <w:rPr>
            <w:sz w:val="28"/>
            <w:szCs w:val="28"/>
          </w:rPr>
          <w:fldChar w:fldCharType="end"/>
        </w:r>
      </w:p>
    </w:sdtContent>
  </w:sdt>
  <w:p w:rsidR="00690FFF" w:rsidRDefault="00690F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08" w:rsidRDefault="00F32608" w:rsidP="00690FFF">
      <w:pPr>
        <w:spacing w:after="0" w:line="240" w:lineRule="auto"/>
      </w:pPr>
      <w:r>
        <w:separator/>
      </w:r>
    </w:p>
  </w:footnote>
  <w:footnote w:type="continuationSeparator" w:id="0">
    <w:p w:rsidR="00F32608" w:rsidRDefault="00F32608" w:rsidP="0069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F" w:rsidRDefault="00690FFF" w:rsidP="00690FFF">
    <w:pPr>
      <w:pStyle w:val="Zhlav"/>
      <w:jc w:val="center"/>
    </w:pPr>
    <w:r w:rsidRPr="00690FFF">
      <w:drawing>
        <wp:inline distT="0" distB="0" distL="0" distR="0">
          <wp:extent cx="2087880" cy="55499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4B8"/>
    <w:multiLevelType w:val="hybridMultilevel"/>
    <w:tmpl w:val="B6DA6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2B19"/>
    <w:multiLevelType w:val="hybridMultilevel"/>
    <w:tmpl w:val="412C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D6B"/>
    <w:multiLevelType w:val="hybridMultilevel"/>
    <w:tmpl w:val="00680982"/>
    <w:lvl w:ilvl="0" w:tplc="D234C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B7A6B"/>
    <w:multiLevelType w:val="hybridMultilevel"/>
    <w:tmpl w:val="63C01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82"/>
    <w:rsid w:val="0008317D"/>
    <w:rsid w:val="000C6656"/>
    <w:rsid w:val="000E52C2"/>
    <w:rsid w:val="001A0135"/>
    <w:rsid w:val="00363282"/>
    <w:rsid w:val="003B215F"/>
    <w:rsid w:val="004A6E7C"/>
    <w:rsid w:val="00626C1E"/>
    <w:rsid w:val="00690FFF"/>
    <w:rsid w:val="007F7FA2"/>
    <w:rsid w:val="00975BD0"/>
    <w:rsid w:val="009E17B0"/>
    <w:rsid w:val="00B5741A"/>
    <w:rsid w:val="00DE2C1F"/>
    <w:rsid w:val="00DE3D65"/>
    <w:rsid w:val="00F3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</cp:lastModifiedBy>
  <cp:revision>4</cp:revision>
  <dcterms:created xsi:type="dcterms:W3CDTF">2014-04-22T09:26:00Z</dcterms:created>
  <dcterms:modified xsi:type="dcterms:W3CDTF">2014-04-22T09:33:00Z</dcterms:modified>
</cp:coreProperties>
</file>