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A9" w:rsidRDefault="00C418B7" w:rsidP="00CC262F">
      <w:pPr>
        <w:jc w:val="center"/>
        <w:rPr>
          <w:b/>
          <w:sz w:val="28"/>
          <w:szCs w:val="28"/>
        </w:rPr>
      </w:pPr>
      <w:bookmarkStart w:id="0" w:name="_GoBack"/>
      <w:bookmarkEnd w:id="0"/>
      <w:r>
        <w:rPr>
          <w:b/>
          <w:noProof/>
          <w:sz w:val="28"/>
          <w:szCs w:val="28"/>
          <w:lang w:eastAsia="cs-CZ"/>
        </w:rPr>
        <w:drawing>
          <wp:inline distT="0" distB="0" distL="0" distR="0">
            <wp:extent cx="3381375" cy="898177"/>
            <wp:effectExtent l="0" t="0" r="0" b="0"/>
            <wp:docPr id="1" name="Obrázek 1" descr="D:\logo čps 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čps gif.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0257" cy="897880"/>
                    </a:xfrm>
                    <a:prstGeom prst="rect">
                      <a:avLst/>
                    </a:prstGeom>
                    <a:noFill/>
                    <a:ln>
                      <a:noFill/>
                    </a:ln>
                  </pic:spPr>
                </pic:pic>
              </a:graphicData>
            </a:graphic>
          </wp:inline>
        </w:drawing>
      </w:r>
    </w:p>
    <w:p w:rsidR="00C418B7" w:rsidRDefault="00C418B7" w:rsidP="00CC262F">
      <w:pPr>
        <w:jc w:val="center"/>
        <w:rPr>
          <w:b/>
          <w:sz w:val="28"/>
          <w:szCs w:val="28"/>
        </w:rPr>
      </w:pPr>
    </w:p>
    <w:p w:rsidR="007F7FA2" w:rsidRPr="00C418B7" w:rsidRDefault="003803D7" w:rsidP="00CC262F">
      <w:pPr>
        <w:jc w:val="center"/>
        <w:rPr>
          <w:sz w:val="32"/>
          <w:szCs w:val="32"/>
        </w:rPr>
      </w:pPr>
      <w:r>
        <w:rPr>
          <w:b/>
          <w:sz w:val="32"/>
          <w:szCs w:val="32"/>
        </w:rPr>
        <w:t>Stanovisko ČPS k n</w:t>
      </w:r>
      <w:r w:rsidR="005E6C2A" w:rsidRPr="00C418B7">
        <w:rPr>
          <w:b/>
          <w:sz w:val="32"/>
          <w:szCs w:val="32"/>
        </w:rPr>
        <w:t>ávrh</w:t>
      </w:r>
      <w:r>
        <w:rPr>
          <w:b/>
          <w:sz w:val="32"/>
          <w:szCs w:val="32"/>
        </w:rPr>
        <w:t>u</w:t>
      </w:r>
      <w:r w:rsidR="005E6C2A" w:rsidRPr="00C418B7">
        <w:rPr>
          <w:b/>
          <w:sz w:val="32"/>
          <w:szCs w:val="32"/>
        </w:rPr>
        <w:t xml:space="preserve"> zákona o integritě a transparentnosti velkoobchodního trhu s energií </w:t>
      </w:r>
      <w:r w:rsidR="006F5F3A" w:rsidRPr="00C418B7">
        <w:rPr>
          <w:b/>
          <w:sz w:val="32"/>
          <w:szCs w:val="32"/>
        </w:rPr>
        <w:t>(</w:t>
      </w:r>
      <w:proofErr w:type="spellStart"/>
      <w:r w:rsidR="006F5F3A" w:rsidRPr="00C418B7">
        <w:rPr>
          <w:b/>
          <w:sz w:val="32"/>
          <w:szCs w:val="32"/>
        </w:rPr>
        <w:t>REMIT</w:t>
      </w:r>
      <w:proofErr w:type="spellEnd"/>
      <w:r w:rsidR="006F5F3A" w:rsidRPr="00C418B7">
        <w:rPr>
          <w:b/>
          <w:sz w:val="32"/>
          <w:szCs w:val="32"/>
        </w:rPr>
        <w:t xml:space="preserve">) </w:t>
      </w:r>
      <w:r w:rsidR="005E6C2A" w:rsidRPr="00C418B7">
        <w:rPr>
          <w:b/>
          <w:sz w:val="32"/>
          <w:szCs w:val="32"/>
        </w:rPr>
        <w:t>a o změně zákona č. 99/1963 Sb.</w:t>
      </w:r>
      <w:r w:rsidR="006F5F3A" w:rsidRPr="00C418B7">
        <w:rPr>
          <w:b/>
          <w:sz w:val="32"/>
          <w:szCs w:val="32"/>
        </w:rPr>
        <w:t>,</w:t>
      </w:r>
      <w:r w:rsidR="005E6C2A" w:rsidRPr="00C418B7">
        <w:rPr>
          <w:b/>
          <w:sz w:val="32"/>
          <w:szCs w:val="32"/>
        </w:rPr>
        <w:t xml:space="preserve"> občanský soudní řád</w:t>
      </w:r>
      <w:r w:rsidR="006F5F3A" w:rsidRPr="00C418B7">
        <w:rPr>
          <w:b/>
          <w:sz w:val="32"/>
          <w:szCs w:val="32"/>
        </w:rPr>
        <w:t>,</w:t>
      </w:r>
      <w:r w:rsidR="005E6C2A" w:rsidRPr="00C418B7">
        <w:rPr>
          <w:b/>
          <w:sz w:val="32"/>
          <w:szCs w:val="32"/>
        </w:rPr>
        <w:t xml:space="preserve"> ve znění pozdějších předpisů</w:t>
      </w:r>
    </w:p>
    <w:p w:rsidR="00B15DA9" w:rsidRDefault="00B15DA9" w:rsidP="005E6C2A">
      <w:pPr>
        <w:rPr>
          <w:sz w:val="28"/>
          <w:szCs w:val="28"/>
        </w:rPr>
      </w:pPr>
    </w:p>
    <w:p w:rsidR="005E6C2A" w:rsidRPr="006F5F3A" w:rsidRDefault="005E6C2A" w:rsidP="006C2F84">
      <w:pPr>
        <w:rPr>
          <w:sz w:val="24"/>
          <w:szCs w:val="24"/>
        </w:rPr>
      </w:pPr>
      <w:r>
        <w:rPr>
          <w:sz w:val="28"/>
          <w:szCs w:val="28"/>
        </w:rPr>
        <w:tab/>
      </w:r>
      <w:r w:rsidRPr="006F5F3A">
        <w:rPr>
          <w:sz w:val="24"/>
          <w:szCs w:val="24"/>
        </w:rPr>
        <w:t xml:space="preserve">Návrh zákona vychází z nařízení EP a </w:t>
      </w:r>
      <w:proofErr w:type="spellStart"/>
      <w:r w:rsidRPr="006F5F3A">
        <w:rPr>
          <w:sz w:val="24"/>
          <w:szCs w:val="24"/>
        </w:rPr>
        <w:t>ER</w:t>
      </w:r>
      <w:proofErr w:type="spellEnd"/>
      <w:r w:rsidRPr="006F5F3A">
        <w:rPr>
          <w:sz w:val="24"/>
          <w:szCs w:val="24"/>
        </w:rPr>
        <w:t xml:space="preserve"> č. 1227/2011 o integritě a transparentnosti velkoobchodních trhů s energií (</w:t>
      </w:r>
      <w:proofErr w:type="spellStart"/>
      <w:r w:rsidRPr="006F5F3A">
        <w:rPr>
          <w:sz w:val="24"/>
          <w:szCs w:val="24"/>
        </w:rPr>
        <w:t>REMIT</w:t>
      </w:r>
      <w:proofErr w:type="spellEnd"/>
      <w:r w:rsidRPr="006F5F3A">
        <w:rPr>
          <w:sz w:val="24"/>
          <w:szCs w:val="24"/>
        </w:rPr>
        <w:t xml:space="preserve">), které vstoupilo v platnost dne 28. prosince 2011. Nařízení </w:t>
      </w:r>
      <w:proofErr w:type="spellStart"/>
      <w:r w:rsidRPr="006F5F3A">
        <w:rPr>
          <w:sz w:val="24"/>
          <w:szCs w:val="24"/>
        </w:rPr>
        <w:t>REMIT</w:t>
      </w:r>
      <w:proofErr w:type="spellEnd"/>
      <w:r w:rsidRPr="006F5F3A">
        <w:rPr>
          <w:sz w:val="24"/>
          <w:szCs w:val="24"/>
        </w:rPr>
        <w:t xml:space="preserve"> má zajistit především:</w:t>
      </w:r>
    </w:p>
    <w:p w:rsidR="005E6C2A" w:rsidRPr="006F5F3A" w:rsidRDefault="005E6C2A" w:rsidP="005E6C2A">
      <w:pPr>
        <w:pStyle w:val="Odstavecseseznamem"/>
        <w:numPr>
          <w:ilvl w:val="0"/>
          <w:numId w:val="1"/>
        </w:numPr>
        <w:rPr>
          <w:sz w:val="24"/>
          <w:szCs w:val="24"/>
        </w:rPr>
      </w:pPr>
      <w:r w:rsidRPr="006F5F3A">
        <w:rPr>
          <w:sz w:val="24"/>
          <w:szCs w:val="24"/>
        </w:rPr>
        <w:t>fungování hospodářské</w:t>
      </w:r>
      <w:r w:rsidR="00E07D34" w:rsidRPr="006F5F3A">
        <w:rPr>
          <w:sz w:val="24"/>
          <w:szCs w:val="24"/>
        </w:rPr>
        <w:t xml:space="preserve"> soutěže</w:t>
      </w:r>
      <w:r w:rsidRPr="006F5F3A">
        <w:rPr>
          <w:sz w:val="24"/>
          <w:szCs w:val="24"/>
        </w:rPr>
        <w:t xml:space="preserve"> na velkoobchodních trzích s energií,</w:t>
      </w:r>
    </w:p>
    <w:p w:rsidR="005E6C2A" w:rsidRPr="006F5F3A" w:rsidRDefault="005E6C2A" w:rsidP="005E6C2A">
      <w:pPr>
        <w:pStyle w:val="Odstavecseseznamem"/>
        <w:numPr>
          <w:ilvl w:val="0"/>
          <w:numId w:val="1"/>
        </w:numPr>
        <w:rPr>
          <w:sz w:val="24"/>
          <w:szCs w:val="24"/>
        </w:rPr>
      </w:pPr>
      <w:r w:rsidRPr="006F5F3A">
        <w:rPr>
          <w:sz w:val="24"/>
          <w:szCs w:val="24"/>
        </w:rPr>
        <w:t>zákaz zneužívání důvěrných informací a možnou manipulaci s</w:t>
      </w:r>
      <w:r w:rsidR="00746C2C" w:rsidRPr="006F5F3A">
        <w:rPr>
          <w:sz w:val="24"/>
          <w:szCs w:val="24"/>
        </w:rPr>
        <w:t> </w:t>
      </w:r>
      <w:r w:rsidRPr="006F5F3A">
        <w:rPr>
          <w:sz w:val="24"/>
          <w:szCs w:val="24"/>
        </w:rPr>
        <w:t>trhem</w:t>
      </w:r>
      <w:r w:rsidR="00746C2C" w:rsidRPr="006F5F3A">
        <w:rPr>
          <w:sz w:val="24"/>
          <w:szCs w:val="24"/>
        </w:rPr>
        <w:t>,</w:t>
      </w:r>
    </w:p>
    <w:p w:rsidR="00746C2C" w:rsidRPr="006F5F3A" w:rsidRDefault="00746C2C" w:rsidP="005E6C2A">
      <w:pPr>
        <w:pStyle w:val="Odstavecseseznamem"/>
        <w:numPr>
          <w:ilvl w:val="0"/>
          <w:numId w:val="1"/>
        </w:numPr>
        <w:rPr>
          <w:sz w:val="24"/>
          <w:szCs w:val="24"/>
        </w:rPr>
      </w:pPr>
      <w:r w:rsidRPr="006F5F3A">
        <w:rPr>
          <w:sz w:val="24"/>
          <w:szCs w:val="24"/>
        </w:rPr>
        <w:t xml:space="preserve">monitoring </w:t>
      </w:r>
      <w:proofErr w:type="spellStart"/>
      <w:r w:rsidRPr="006F5F3A">
        <w:rPr>
          <w:sz w:val="24"/>
          <w:szCs w:val="24"/>
        </w:rPr>
        <w:t>přeshraničního</w:t>
      </w:r>
      <w:proofErr w:type="spellEnd"/>
      <w:r w:rsidRPr="006F5F3A">
        <w:rPr>
          <w:sz w:val="24"/>
          <w:szCs w:val="24"/>
        </w:rPr>
        <w:t xml:space="preserve"> trhu s energií,</w:t>
      </w:r>
    </w:p>
    <w:p w:rsidR="00746C2C" w:rsidRPr="006F5F3A" w:rsidRDefault="00746C2C" w:rsidP="005E6C2A">
      <w:pPr>
        <w:pStyle w:val="Odstavecseseznamem"/>
        <w:numPr>
          <w:ilvl w:val="0"/>
          <w:numId w:val="1"/>
        </w:numPr>
        <w:rPr>
          <w:sz w:val="24"/>
          <w:szCs w:val="24"/>
        </w:rPr>
      </w:pPr>
      <w:r w:rsidRPr="006F5F3A">
        <w:rPr>
          <w:sz w:val="24"/>
          <w:szCs w:val="24"/>
        </w:rPr>
        <w:t>ceny energie založené na interakci poptávky a nabídky.</w:t>
      </w:r>
    </w:p>
    <w:p w:rsidR="00C01B4C" w:rsidRPr="006F5F3A" w:rsidRDefault="00C01B4C" w:rsidP="00C01B4C">
      <w:pPr>
        <w:ind w:firstLine="360"/>
        <w:rPr>
          <w:sz w:val="24"/>
          <w:szCs w:val="24"/>
        </w:rPr>
      </w:pPr>
      <w:r w:rsidRPr="006F5F3A">
        <w:rPr>
          <w:sz w:val="24"/>
          <w:szCs w:val="24"/>
        </w:rPr>
        <w:t xml:space="preserve">Nařízení </w:t>
      </w:r>
      <w:proofErr w:type="spellStart"/>
      <w:r w:rsidRPr="006F5F3A">
        <w:rPr>
          <w:sz w:val="24"/>
          <w:szCs w:val="24"/>
        </w:rPr>
        <w:t>REMIT</w:t>
      </w:r>
      <w:proofErr w:type="spellEnd"/>
      <w:r w:rsidRPr="006F5F3A">
        <w:rPr>
          <w:sz w:val="24"/>
          <w:szCs w:val="24"/>
        </w:rPr>
        <w:t xml:space="preserve"> je součástí rozsáhlejší</w:t>
      </w:r>
      <w:r w:rsidR="006F5F3A">
        <w:rPr>
          <w:sz w:val="24"/>
          <w:szCs w:val="24"/>
        </w:rPr>
        <w:t>ho</w:t>
      </w:r>
      <w:r w:rsidRPr="006F5F3A">
        <w:rPr>
          <w:sz w:val="24"/>
          <w:szCs w:val="24"/>
        </w:rPr>
        <w:t xml:space="preserve"> úsilí Evropské komise zprůhlednit vnitřní trh v oblasti bankovních transakcí a dalších obchodů s dopadem na celou unii (</w:t>
      </w:r>
      <w:proofErr w:type="spellStart"/>
      <w:r w:rsidRPr="006F5F3A">
        <w:rPr>
          <w:sz w:val="24"/>
          <w:szCs w:val="24"/>
        </w:rPr>
        <w:t>MIFID</w:t>
      </w:r>
      <w:proofErr w:type="spellEnd"/>
      <w:r w:rsidRPr="006F5F3A">
        <w:rPr>
          <w:sz w:val="24"/>
          <w:szCs w:val="24"/>
        </w:rPr>
        <w:t>, atd.).</w:t>
      </w:r>
      <w:r w:rsidR="00C220C7">
        <w:rPr>
          <w:sz w:val="24"/>
          <w:szCs w:val="24"/>
        </w:rPr>
        <w:t xml:space="preserve"> </w:t>
      </w:r>
      <w:r w:rsidR="00C220C7" w:rsidRPr="00C220C7">
        <w:rPr>
          <w:sz w:val="24"/>
          <w:szCs w:val="24"/>
        </w:rPr>
        <w:t>-</w:t>
      </w:r>
      <w:r w:rsidR="00C220C7" w:rsidRPr="00C220C7">
        <w:rPr>
          <w:sz w:val="24"/>
          <w:szCs w:val="24"/>
        </w:rPr>
        <w:tab/>
        <w:t xml:space="preserve">Nařízení </w:t>
      </w:r>
      <w:proofErr w:type="spellStart"/>
      <w:r w:rsidR="00C220C7" w:rsidRPr="00C220C7">
        <w:rPr>
          <w:sz w:val="24"/>
          <w:szCs w:val="24"/>
        </w:rPr>
        <w:t>REMIT</w:t>
      </w:r>
      <w:proofErr w:type="spellEnd"/>
      <w:r w:rsidR="00C220C7" w:rsidRPr="00C220C7">
        <w:rPr>
          <w:sz w:val="24"/>
          <w:szCs w:val="24"/>
        </w:rPr>
        <w:t xml:space="preserve"> je přímo účinný unijní právní předpis. </w:t>
      </w:r>
      <w:r w:rsidRPr="006F5F3A">
        <w:rPr>
          <w:sz w:val="24"/>
          <w:szCs w:val="24"/>
        </w:rPr>
        <w:t>Cílem návrhu zákona</w:t>
      </w:r>
      <w:r w:rsidR="00906065" w:rsidRPr="006F5F3A">
        <w:rPr>
          <w:sz w:val="24"/>
          <w:szCs w:val="24"/>
        </w:rPr>
        <w:t xml:space="preserve"> </w:t>
      </w:r>
      <w:r w:rsidR="006C2F84" w:rsidRPr="006F5F3A">
        <w:rPr>
          <w:sz w:val="24"/>
          <w:szCs w:val="24"/>
        </w:rPr>
        <w:t>je</w:t>
      </w:r>
      <w:r w:rsidR="006C2F84">
        <w:rPr>
          <w:sz w:val="24"/>
          <w:szCs w:val="24"/>
        </w:rPr>
        <w:t xml:space="preserve"> </w:t>
      </w:r>
      <w:r w:rsidR="006C2F84" w:rsidRPr="006F5F3A">
        <w:rPr>
          <w:sz w:val="24"/>
          <w:szCs w:val="24"/>
        </w:rPr>
        <w:t>implementovat</w:t>
      </w:r>
      <w:r w:rsidR="00906065" w:rsidRPr="006F5F3A">
        <w:rPr>
          <w:sz w:val="24"/>
          <w:szCs w:val="24"/>
        </w:rPr>
        <w:t xml:space="preserve"> </w:t>
      </w:r>
      <w:r w:rsidR="00C220C7" w:rsidRPr="00C220C7">
        <w:rPr>
          <w:sz w:val="24"/>
          <w:szCs w:val="24"/>
        </w:rPr>
        <w:t xml:space="preserve">do vnitrostátního právního řádu instituty uvedené v čl. 13 a 18 nařízení </w:t>
      </w:r>
      <w:proofErr w:type="spellStart"/>
      <w:r w:rsidR="00C220C7" w:rsidRPr="00C220C7">
        <w:rPr>
          <w:sz w:val="24"/>
          <w:szCs w:val="24"/>
        </w:rPr>
        <w:t>REMIT</w:t>
      </w:r>
      <w:proofErr w:type="spellEnd"/>
      <w:r w:rsidR="00C220C7" w:rsidRPr="00C220C7">
        <w:rPr>
          <w:sz w:val="24"/>
          <w:szCs w:val="24"/>
        </w:rPr>
        <w:t xml:space="preserve">, tj. vyšetřovací a vynucovací pravomoci </w:t>
      </w:r>
      <w:proofErr w:type="spellStart"/>
      <w:r w:rsidR="00C220C7" w:rsidRPr="00C220C7">
        <w:rPr>
          <w:sz w:val="24"/>
          <w:szCs w:val="24"/>
        </w:rPr>
        <w:t>ERU</w:t>
      </w:r>
      <w:proofErr w:type="spellEnd"/>
      <w:r w:rsidR="00C220C7" w:rsidRPr="00C220C7">
        <w:rPr>
          <w:sz w:val="24"/>
          <w:szCs w:val="24"/>
        </w:rPr>
        <w:t xml:space="preserve"> a sankce za neplnění nařízení. Dále je třeba upravit také vztah </w:t>
      </w:r>
      <w:proofErr w:type="spellStart"/>
      <w:r w:rsidR="00C220C7" w:rsidRPr="00C220C7">
        <w:rPr>
          <w:sz w:val="24"/>
          <w:szCs w:val="24"/>
        </w:rPr>
        <w:t>ERU</w:t>
      </w:r>
      <w:proofErr w:type="spellEnd"/>
      <w:r w:rsidR="00C220C7" w:rsidRPr="00C220C7">
        <w:rPr>
          <w:sz w:val="24"/>
          <w:szCs w:val="24"/>
        </w:rPr>
        <w:t xml:space="preserve"> s dalšími dotčenými orgány státní správy, konkrétně s Úřadem pro ochranu hospodářské soutěže (dále jen „</w:t>
      </w:r>
      <w:proofErr w:type="spellStart"/>
      <w:r w:rsidR="00C220C7" w:rsidRPr="00C220C7">
        <w:rPr>
          <w:sz w:val="24"/>
          <w:szCs w:val="24"/>
        </w:rPr>
        <w:t>UOHS</w:t>
      </w:r>
      <w:proofErr w:type="spellEnd"/>
      <w:r w:rsidR="00C220C7" w:rsidRPr="00C220C7">
        <w:rPr>
          <w:sz w:val="24"/>
          <w:szCs w:val="24"/>
        </w:rPr>
        <w:t xml:space="preserve">“) a Českou národní bankou (dále jen „ČNB“). </w:t>
      </w:r>
      <w:r w:rsidR="00906065" w:rsidRPr="006F5F3A">
        <w:rPr>
          <w:sz w:val="24"/>
          <w:szCs w:val="24"/>
        </w:rPr>
        <w:t xml:space="preserve"> Upraveny jsou také</w:t>
      </w:r>
      <w:r w:rsidR="00C101AC" w:rsidRPr="006F5F3A">
        <w:rPr>
          <w:sz w:val="24"/>
          <w:szCs w:val="24"/>
        </w:rPr>
        <w:t xml:space="preserve"> vybrané otázky spolupráce národního regulátora s Agenturou pro spolupráci energetických regulačních orgánů </w:t>
      </w:r>
      <w:r w:rsidR="006F5F3A">
        <w:rPr>
          <w:sz w:val="24"/>
          <w:szCs w:val="24"/>
        </w:rPr>
        <w:t>(</w:t>
      </w:r>
      <w:proofErr w:type="spellStart"/>
      <w:r w:rsidR="006F5F3A">
        <w:rPr>
          <w:sz w:val="24"/>
          <w:szCs w:val="24"/>
        </w:rPr>
        <w:t>ACER</w:t>
      </w:r>
      <w:proofErr w:type="spellEnd"/>
      <w:r w:rsidR="006F5F3A">
        <w:rPr>
          <w:sz w:val="24"/>
          <w:szCs w:val="24"/>
        </w:rPr>
        <w:t xml:space="preserve">) </w:t>
      </w:r>
      <w:r w:rsidR="00C101AC" w:rsidRPr="006F5F3A">
        <w:rPr>
          <w:sz w:val="24"/>
          <w:szCs w:val="24"/>
        </w:rPr>
        <w:t xml:space="preserve">v oblasti mezinárodní koordinace uplatňování nařízení </w:t>
      </w:r>
      <w:proofErr w:type="spellStart"/>
      <w:r w:rsidR="00C101AC" w:rsidRPr="006F5F3A">
        <w:rPr>
          <w:sz w:val="24"/>
          <w:szCs w:val="24"/>
        </w:rPr>
        <w:t>REMIT</w:t>
      </w:r>
      <w:proofErr w:type="spellEnd"/>
      <w:r w:rsidR="00C101AC" w:rsidRPr="006F5F3A">
        <w:rPr>
          <w:sz w:val="24"/>
          <w:szCs w:val="24"/>
        </w:rPr>
        <w:t>.</w:t>
      </w:r>
    </w:p>
    <w:p w:rsidR="00C101AC" w:rsidRPr="006F5F3A" w:rsidRDefault="00C101AC" w:rsidP="00C01B4C">
      <w:pPr>
        <w:ind w:firstLine="360"/>
        <w:rPr>
          <w:sz w:val="24"/>
          <w:szCs w:val="24"/>
        </w:rPr>
      </w:pPr>
      <w:r w:rsidRPr="006F5F3A">
        <w:rPr>
          <w:sz w:val="24"/>
          <w:szCs w:val="24"/>
        </w:rPr>
        <w:t xml:space="preserve">V souvislosti s nařízením </w:t>
      </w:r>
      <w:proofErr w:type="spellStart"/>
      <w:r w:rsidRPr="006F5F3A">
        <w:rPr>
          <w:sz w:val="24"/>
          <w:szCs w:val="24"/>
        </w:rPr>
        <w:t>REMIT</w:t>
      </w:r>
      <w:proofErr w:type="spellEnd"/>
      <w:r w:rsidRPr="006F5F3A">
        <w:rPr>
          <w:sz w:val="24"/>
          <w:szCs w:val="24"/>
        </w:rPr>
        <w:t xml:space="preserve"> panuje již od počátku platnosti nařízení jistá bezradnost v možných způsobech implementace na straně energetických společností. Postupy a zabezpečení komunikace mezi </w:t>
      </w:r>
      <w:proofErr w:type="spellStart"/>
      <w:r w:rsidRPr="006F5F3A">
        <w:rPr>
          <w:sz w:val="24"/>
          <w:szCs w:val="24"/>
        </w:rPr>
        <w:t>ACER</w:t>
      </w:r>
      <w:proofErr w:type="spellEnd"/>
      <w:r w:rsidRPr="006F5F3A">
        <w:rPr>
          <w:sz w:val="24"/>
          <w:szCs w:val="24"/>
        </w:rPr>
        <w:t xml:space="preserve"> a národními regulačními orgány byly sice navrženy, ale o </w:t>
      </w:r>
      <w:r w:rsidR="0097790B" w:rsidRPr="006F5F3A">
        <w:rPr>
          <w:sz w:val="24"/>
          <w:szCs w:val="24"/>
        </w:rPr>
        <w:t>rutinním fungování</w:t>
      </w:r>
      <w:r w:rsidRPr="006F5F3A">
        <w:rPr>
          <w:sz w:val="24"/>
          <w:szCs w:val="24"/>
        </w:rPr>
        <w:t xml:space="preserve"> tohoto systé</w:t>
      </w:r>
      <w:r w:rsidR="0097790B" w:rsidRPr="006F5F3A">
        <w:rPr>
          <w:sz w:val="24"/>
          <w:szCs w:val="24"/>
        </w:rPr>
        <w:t>mu lze zatím pochybovat.</w:t>
      </w:r>
    </w:p>
    <w:p w:rsidR="0097790B" w:rsidRPr="006F5F3A" w:rsidRDefault="0097790B" w:rsidP="00C01B4C">
      <w:pPr>
        <w:ind w:firstLine="360"/>
        <w:rPr>
          <w:sz w:val="24"/>
          <w:szCs w:val="24"/>
        </w:rPr>
      </w:pPr>
      <w:r w:rsidRPr="006F5F3A">
        <w:rPr>
          <w:sz w:val="24"/>
          <w:szCs w:val="24"/>
        </w:rPr>
        <w:t>Za této situace by ČPS doporučoval:</w:t>
      </w:r>
    </w:p>
    <w:p w:rsidR="00C220C7" w:rsidRPr="00D7730A" w:rsidRDefault="0097790B" w:rsidP="00C220C7">
      <w:pPr>
        <w:pStyle w:val="Odstavecseseznamem"/>
        <w:numPr>
          <w:ilvl w:val="0"/>
          <w:numId w:val="1"/>
        </w:numPr>
        <w:rPr>
          <w:sz w:val="24"/>
          <w:szCs w:val="24"/>
        </w:rPr>
      </w:pPr>
      <w:r w:rsidRPr="00C220C7">
        <w:rPr>
          <w:sz w:val="24"/>
          <w:szCs w:val="24"/>
        </w:rPr>
        <w:t xml:space="preserve">zahrnout potřebné změny národní </w:t>
      </w:r>
      <w:r w:rsidR="00C96D99" w:rsidRPr="00C220C7">
        <w:rPr>
          <w:sz w:val="24"/>
          <w:szCs w:val="24"/>
        </w:rPr>
        <w:t xml:space="preserve">legislativy </w:t>
      </w:r>
      <w:r w:rsidRPr="00C220C7">
        <w:rPr>
          <w:sz w:val="24"/>
          <w:szCs w:val="24"/>
        </w:rPr>
        <w:t xml:space="preserve">vyplývající z nařízení </w:t>
      </w:r>
      <w:proofErr w:type="spellStart"/>
      <w:r w:rsidRPr="00C220C7">
        <w:rPr>
          <w:sz w:val="24"/>
          <w:szCs w:val="24"/>
        </w:rPr>
        <w:t>REMIT</w:t>
      </w:r>
      <w:proofErr w:type="spellEnd"/>
      <w:r w:rsidRPr="00C220C7">
        <w:rPr>
          <w:sz w:val="24"/>
          <w:szCs w:val="24"/>
        </w:rPr>
        <w:t xml:space="preserve"> do připravované novely ener</w:t>
      </w:r>
      <w:r w:rsidRPr="00D7730A">
        <w:rPr>
          <w:sz w:val="24"/>
          <w:szCs w:val="24"/>
        </w:rPr>
        <w:t>getického zákona</w:t>
      </w:r>
      <w:r w:rsidR="006C2F84">
        <w:rPr>
          <w:sz w:val="24"/>
          <w:szCs w:val="24"/>
        </w:rPr>
        <w:t xml:space="preserve"> </w:t>
      </w:r>
      <w:r w:rsidR="00C220C7" w:rsidRPr="00D7730A">
        <w:rPr>
          <w:sz w:val="24"/>
          <w:szCs w:val="24"/>
        </w:rPr>
        <w:t>a Občanského soudního řádu</w:t>
      </w:r>
      <w:r w:rsidR="00D7730A">
        <w:rPr>
          <w:sz w:val="24"/>
          <w:szCs w:val="24"/>
        </w:rPr>
        <w:t xml:space="preserve"> (dále jen „</w:t>
      </w:r>
      <w:proofErr w:type="spellStart"/>
      <w:r w:rsidR="00D7730A">
        <w:rPr>
          <w:sz w:val="24"/>
          <w:szCs w:val="24"/>
        </w:rPr>
        <w:t>OSŘ</w:t>
      </w:r>
      <w:proofErr w:type="spellEnd"/>
      <w:r w:rsidR="00D7730A">
        <w:rPr>
          <w:sz w:val="24"/>
          <w:szCs w:val="24"/>
        </w:rPr>
        <w:t>“)</w:t>
      </w:r>
      <w:r w:rsidR="00C220C7" w:rsidRPr="00D7730A">
        <w:rPr>
          <w:sz w:val="24"/>
          <w:szCs w:val="24"/>
        </w:rPr>
        <w:t xml:space="preserve"> </w:t>
      </w:r>
      <w:r w:rsidRPr="00D7730A">
        <w:rPr>
          <w:sz w:val="24"/>
          <w:szCs w:val="24"/>
        </w:rPr>
        <w:t>a nepřipravovat k této problematice samostatný zákon</w:t>
      </w:r>
      <w:r w:rsidR="006F5F3A" w:rsidRPr="00D7730A">
        <w:rPr>
          <w:sz w:val="24"/>
          <w:szCs w:val="24"/>
        </w:rPr>
        <w:t>;</w:t>
      </w:r>
      <w:r w:rsidRPr="00D7730A">
        <w:rPr>
          <w:sz w:val="24"/>
          <w:szCs w:val="24"/>
        </w:rPr>
        <w:t xml:space="preserve"> v případě možných </w:t>
      </w:r>
      <w:r w:rsidRPr="00D7730A">
        <w:rPr>
          <w:sz w:val="24"/>
          <w:szCs w:val="24"/>
        </w:rPr>
        <w:lastRenderedPageBreak/>
        <w:t>sporů bude</w:t>
      </w:r>
      <w:r w:rsidR="00F71F72" w:rsidRPr="00D7730A">
        <w:rPr>
          <w:sz w:val="24"/>
          <w:szCs w:val="24"/>
        </w:rPr>
        <w:t xml:space="preserve"> </w:t>
      </w:r>
      <w:r w:rsidR="006F5F3A" w:rsidRPr="00D7730A">
        <w:rPr>
          <w:sz w:val="24"/>
          <w:szCs w:val="24"/>
        </w:rPr>
        <w:t xml:space="preserve">podle legislativních pravidel EU pro ČR </w:t>
      </w:r>
      <w:r w:rsidR="00F71F72" w:rsidRPr="00D7730A">
        <w:rPr>
          <w:sz w:val="24"/>
          <w:szCs w:val="24"/>
        </w:rPr>
        <w:t>stejně</w:t>
      </w:r>
      <w:r w:rsidRPr="00D7730A">
        <w:rPr>
          <w:sz w:val="24"/>
          <w:szCs w:val="24"/>
        </w:rPr>
        <w:t xml:space="preserve"> rozhodující</w:t>
      </w:r>
      <w:r w:rsidR="00821269" w:rsidRPr="00D7730A">
        <w:rPr>
          <w:sz w:val="24"/>
          <w:szCs w:val="24"/>
        </w:rPr>
        <w:t xml:space="preserve"> </w:t>
      </w:r>
      <w:r w:rsidRPr="00D7730A">
        <w:rPr>
          <w:sz w:val="24"/>
          <w:szCs w:val="24"/>
        </w:rPr>
        <w:t>text nařízení</w:t>
      </w:r>
      <w:r w:rsidR="006F5F3A" w:rsidRPr="00D7730A">
        <w:rPr>
          <w:sz w:val="24"/>
          <w:szCs w:val="24"/>
        </w:rPr>
        <w:t>;</w:t>
      </w:r>
      <w:r w:rsidR="004A689B" w:rsidRPr="00D7730A">
        <w:rPr>
          <w:sz w:val="24"/>
          <w:szCs w:val="24"/>
        </w:rPr>
        <w:t xml:space="preserve"> případným přijetím samostatného zákona se dále zvyšuje riziko výkladových </w:t>
      </w:r>
      <w:r w:rsidR="004A689B" w:rsidRPr="00C220C7">
        <w:rPr>
          <w:sz w:val="24"/>
          <w:szCs w:val="24"/>
        </w:rPr>
        <w:t xml:space="preserve">nejasností (např. při výkonu kontrolních a vyšetřovacích pravomocí </w:t>
      </w:r>
      <w:proofErr w:type="spellStart"/>
      <w:r w:rsidR="004A689B" w:rsidRPr="00C220C7">
        <w:rPr>
          <w:sz w:val="24"/>
          <w:szCs w:val="24"/>
        </w:rPr>
        <w:t>ERÚ</w:t>
      </w:r>
      <w:proofErr w:type="spellEnd"/>
      <w:r w:rsidR="004A689B" w:rsidRPr="00C220C7">
        <w:rPr>
          <w:sz w:val="24"/>
          <w:szCs w:val="24"/>
        </w:rPr>
        <w:t>),</w:t>
      </w:r>
      <w:r w:rsidR="00C220C7" w:rsidRPr="00C220C7">
        <w:t xml:space="preserve"> </w:t>
      </w:r>
      <w:r w:rsidR="00C220C7" w:rsidRPr="00C220C7">
        <w:rPr>
          <w:sz w:val="24"/>
          <w:szCs w:val="24"/>
        </w:rPr>
        <w:t>Domníváme se, že efektivnější adaptaci právního řádu ČR na nařízen</w:t>
      </w:r>
      <w:r w:rsidR="00C220C7" w:rsidRPr="00D7730A">
        <w:rPr>
          <w:sz w:val="24"/>
          <w:szCs w:val="24"/>
        </w:rPr>
        <w:t xml:space="preserve">í </w:t>
      </w:r>
      <w:proofErr w:type="spellStart"/>
      <w:r w:rsidR="00C220C7" w:rsidRPr="00D7730A">
        <w:rPr>
          <w:sz w:val="24"/>
          <w:szCs w:val="24"/>
        </w:rPr>
        <w:t>REMIT</w:t>
      </w:r>
      <w:proofErr w:type="spellEnd"/>
      <w:r w:rsidR="00C220C7" w:rsidRPr="00D7730A">
        <w:rPr>
          <w:sz w:val="24"/>
          <w:szCs w:val="24"/>
        </w:rPr>
        <w:t xml:space="preserve"> představují </w:t>
      </w:r>
      <w:r w:rsidR="00D7730A">
        <w:rPr>
          <w:sz w:val="24"/>
          <w:szCs w:val="24"/>
        </w:rPr>
        <w:t xml:space="preserve">právě </w:t>
      </w:r>
      <w:r w:rsidR="00C220C7" w:rsidRPr="00D7730A">
        <w:rPr>
          <w:sz w:val="24"/>
          <w:szCs w:val="24"/>
        </w:rPr>
        <w:t xml:space="preserve">novela </w:t>
      </w:r>
      <w:proofErr w:type="spellStart"/>
      <w:r w:rsidR="00C220C7" w:rsidRPr="00D7730A">
        <w:rPr>
          <w:sz w:val="24"/>
          <w:szCs w:val="24"/>
        </w:rPr>
        <w:t>EZ</w:t>
      </w:r>
      <w:proofErr w:type="spellEnd"/>
      <w:r w:rsidR="00C220C7" w:rsidRPr="00D7730A">
        <w:rPr>
          <w:sz w:val="24"/>
          <w:szCs w:val="24"/>
        </w:rPr>
        <w:t xml:space="preserve"> a novela Občanského soudního řádu, a to z následujících důvodů:</w:t>
      </w:r>
    </w:p>
    <w:p w:rsidR="00C220C7" w:rsidRPr="00C220C7" w:rsidRDefault="00C220C7" w:rsidP="006C2F84">
      <w:pPr>
        <w:pStyle w:val="Odstavecseseznamem"/>
        <w:numPr>
          <w:ilvl w:val="1"/>
          <w:numId w:val="1"/>
        </w:numPr>
        <w:rPr>
          <w:sz w:val="24"/>
          <w:szCs w:val="24"/>
        </w:rPr>
      </w:pPr>
      <w:proofErr w:type="spellStart"/>
      <w:r w:rsidRPr="00C220C7">
        <w:rPr>
          <w:sz w:val="24"/>
          <w:szCs w:val="24"/>
        </w:rPr>
        <w:t>EZ</w:t>
      </w:r>
      <w:proofErr w:type="spellEnd"/>
      <w:r w:rsidRPr="00C220C7">
        <w:rPr>
          <w:sz w:val="24"/>
          <w:szCs w:val="24"/>
        </w:rPr>
        <w:t xml:space="preserve"> v ustanoveních §§ 17-19 upravuje působnost a pravomoc </w:t>
      </w:r>
      <w:proofErr w:type="spellStart"/>
      <w:r w:rsidRPr="00C220C7">
        <w:rPr>
          <w:sz w:val="24"/>
          <w:szCs w:val="24"/>
        </w:rPr>
        <w:t>ERU</w:t>
      </w:r>
      <w:proofErr w:type="spellEnd"/>
      <w:r w:rsidRPr="00C220C7">
        <w:rPr>
          <w:sz w:val="24"/>
          <w:szCs w:val="24"/>
        </w:rPr>
        <w:t xml:space="preserve">. Úprava vyšetřovacích a vynucovacích pravomoci </w:t>
      </w:r>
      <w:r w:rsidR="00D7730A">
        <w:rPr>
          <w:sz w:val="24"/>
          <w:szCs w:val="24"/>
        </w:rPr>
        <w:t xml:space="preserve">v souladu s nařízením </w:t>
      </w:r>
      <w:proofErr w:type="spellStart"/>
      <w:r w:rsidR="00D7730A">
        <w:rPr>
          <w:sz w:val="24"/>
          <w:szCs w:val="24"/>
        </w:rPr>
        <w:t>REMIT</w:t>
      </w:r>
      <w:proofErr w:type="spellEnd"/>
      <w:r w:rsidR="00D7730A">
        <w:rPr>
          <w:sz w:val="24"/>
          <w:szCs w:val="24"/>
        </w:rPr>
        <w:t xml:space="preserve"> </w:t>
      </w:r>
      <w:r w:rsidRPr="00C220C7">
        <w:rPr>
          <w:sz w:val="24"/>
          <w:szCs w:val="24"/>
        </w:rPr>
        <w:t xml:space="preserve">v rámci těchto ustanovení </w:t>
      </w:r>
      <w:proofErr w:type="spellStart"/>
      <w:r w:rsidRPr="00C220C7">
        <w:rPr>
          <w:sz w:val="24"/>
          <w:szCs w:val="24"/>
        </w:rPr>
        <w:t>EZ</w:t>
      </w:r>
      <w:proofErr w:type="spellEnd"/>
      <w:r w:rsidRPr="00C220C7">
        <w:rPr>
          <w:sz w:val="24"/>
          <w:szCs w:val="24"/>
        </w:rPr>
        <w:t xml:space="preserve"> je logickým krokem s ohledem na systematiku implementovaných právních institutu a také s ohledem na věcný obsah </w:t>
      </w:r>
      <w:proofErr w:type="spellStart"/>
      <w:r w:rsidRPr="00C220C7">
        <w:rPr>
          <w:sz w:val="24"/>
          <w:szCs w:val="24"/>
        </w:rPr>
        <w:t>EZ</w:t>
      </w:r>
      <w:proofErr w:type="spellEnd"/>
      <w:r w:rsidRPr="00C220C7">
        <w:rPr>
          <w:sz w:val="24"/>
          <w:szCs w:val="24"/>
        </w:rPr>
        <w:t>, se kterým integrita a transparentnost velkoobchodního trhu s energií úzce souvisí.</w:t>
      </w:r>
      <w:r w:rsidR="00D7730A">
        <w:rPr>
          <w:sz w:val="24"/>
          <w:szCs w:val="24"/>
        </w:rPr>
        <w:t xml:space="preserve"> </w:t>
      </w:r>
    </w:p>
    <w:p w:rsidR="0097790B" w:rsidRDefault="00C220C7" w:rsidP="006C2F84">
      <w:pPr>
        <w:pStyle w:val="Odstavecseseznamem"/>
        <w:numPr>
          <w:ilvl w:val="1"/>
          <w:numId w:val="1"/>
        </w:numPr>
        <w:rPr>
          <w:sz w:val="24"/>
          <w:szCs w:val="24"/>
        </w:rPr>
      </w:pPr>
      <w:proofErr w:type="spellStart"/>
      <w:r w:rsidRPr="00C220C7">
        <w:rPr>
          <w:sz w:val="24"/>
          <w:szCs w:val="24"/>
        </w:rPr>
        <w:t>EZ</w:t>
      </w:r>
      <w:proofErr w:type="spellEnd"/>
      <w:r w:rsidRPr="00C220C7">
        <w:rPr>
          <w:sz w:val="24"/>
          <w:szCs w:val="24"/>
        </w:rPr>
        <w:t xml:space="preserve"> v ustanoveních §§ 90-</w:t>
      </w:r>
      <w:proofErr w:type="spellStart"/>
      <w:r w:rsidRPr="00C220C7">
        <w:rPr>
          <w:sz w:val="24"/>
          <w:szCs w:val="24"/>
        </w:rPr>
        <w:t>91d</w:t>
      </w:r>
      <w:proofErr w:type="spellEnd"/>
      <w:r w:rsidRPr="00C220C7">
        <w:rPr>
          <w:sz w:val="24"/>
          <w:szCs w:val="24"/>
        </w:rPr>
        <w:t xml:space="preserve"> upravuje správní delikty a sankce. Navrhujeme proto implementaci přestupků, správních deliktů právnických a podnikajících fyzických osob a sankcí za porušení nařízení </w:t>
      </w:r>
      <w:proofErr w:type="spellStart"/>
      <w:r w:rsidRPr="00C220C7">
        <w:rPr>
          <w:sz w:val="24"/>
          <w:szCs w:val="24"/>
        </w:rPr>
        <w:t>REMITu</w:t>
      </w:r>
      <w:proofErr w:type="spellEnd"/>
      <w:r w:rsidRPr="00C220C7">
        <w:rPr>
          <w:sz w:val="24"/>
          <w:szCs w:val="24"/>
        </w:rPr>
        <w:t xml:space="preserve">, resp. pokut za porušení nařízení </w:t>
      </w:r>
      <w:proofErr w:type="spellStart"/>
      <w:r w:rsidRPr="00C220C7">
        <w:rPr>
          <w:sz w:val="24"/>
          <w:szCs w:val="24"/>
        </w:rPr>
        <w:t>REMIT</w:t>
      </w:r>
      <w:proofErr w:type="spellEnd"/>
      <w:r w:rsidRPr="00C220C7">
        <w:rPr>
          <w:sz w:val="24"/>
          <w:szCs w:val="24"/>
        </w:rPr>
        <w:t xml:space="preserve"> do stávajících ustanovení </w:t>
      </w:r>
      <w:proofErr w:type="spellStart"/>
      <w:r w:rsidRPr="00C220C7">
        <w:rPr>
          <w:sz w:val="24"/>
          <w:szCs w:val="24"/>
        </w:rPr>
        <w:t>EZ</w:t>
      </w:r>
      <w:proofErr w:type="spellEnd"/>
      <w:r w:rsidRPr="00C220C7">
        <w:rPr>
          <w:sz w:val="24"/>
          <w:szCs w:val="24"/>
        </w:rPr>
        <w:t>.</w:t>
      </w:r>
    </w:p>
    <w:p w:rsidR="00D7730A" w:rsidRPr="006C2F84" w:rsidRDefault="00D7730A" w:rsidP="006C2F84">
      <w:pPr>
        <w:pStyle w:val="Odstavecseseznamem"/>
        <w:numPr>
          <w:ilvl w:val="1"/>
          <w:numId w:val="1"/>
        </w:numPr>
        <w:rPr>
          <w:sz w:val="24"/>
          <w:szCs w:val="24"/>
        </w:rPr>
      </w:pPr>
      <w:proofErr w:type="spellStart"/>
      <w:r>
        <w:rPr>
          <w:sz w:val="24"/>
          <w:szCs w:val="24"/>
        </w:rPr>
        <w:t>EZ</w:t>
      </w:r>
      <w:proofErr w:type="spellEnd"/>
      <w:r>
        <w:rPr>
          <w:sz w:val="24"/>
          <w:szCs w:val="24"/>
        </w:rPr>
        <w:t xml:space="preserve"> v ustanovení § </w:t>
      </w:r>
      <w:proofErr w:type="spellStart"/>
      <w:r>
        <w:rPr>
          <w:sz w:val="24"/>
          <w:szCs w:val="24"/>
        </w:rPr>
        <w:t>18a</w:t>
      </w:r>
      <w:proofErr w:type="spellEnd"/>
      <w:r>
        <w:rPr>
          <w:sz w:val="24"/>
          <w:szCs w:val="24"/>
        </w:rPr>
        <w:t xml:space="preserve"> </w:t>
      </w:r>
      <w:r w:rsidR="00367D79">
        <w:rPr>
          <w:sz w:val="24"/>
          <w:szCs w:val="24"/>
        </w:rPr>
        <w:t xml:space="preserve">upravuje institut spolupráce </w:t>
      </w:r>
      <w:proofErr w:type="spellStart"/>
      <w:r w:rsidR="00367D79">
        <w:rPr>
          <w:sz w:val="24"/>
          <w:szCs w:val="24"/>
        </w:rPr>
        <w:t>ERÚ</w:t>
      </w:r>
      <w:proofErr w:type="spellEnd"/>
      <w:r w:rsidR="00367D79">
        <w:rPr>
          <w:sz w:val="24"/>
          <w:szCs w:val="24"/>
        </w:rPr>
        <w:t xml:space="preserve"> s </w:t>
      </w:r>
      <w:proofErr w:type="spellStart"/>
      <w:r w:rsidR="00367D79">
        <w:rPr>
          <w:sz w:val="24"/>
          <w:szCs w:val="24"/>
        </w:rPr>
        <w:t>ÚHOS</w:t>
      </w:r>
      <w:proofErr w:type="spellEnd"/>
      <w:r w:rsidR="00367D79">
        <w:rPr>
          <w:sz w:val="24"/>
          <w:szCs w:val="24"/>
        </w:rPr>
        <w:t xml:space="preserve"> a ČNB v rámci hospodářské soutěže na trhu s energií, je proto vhodné, aby obdobně na stejném místě v legislativě byl upraven i </w:t>
      </w:r>
      <w:r w:rsidR="00367D79" w:rsidRPr="00C220C7">
        <w:rPr>
          <w:sz w:val="24"/>
          <w:szCs w:val="24"/>
        </w:rPr>
        <w:t xml:space="preserve">vztah </w:t>
      </w:r>
      <w:proofErr w:type="spellStart"/>
      <w:r w:rsidR="00367D79" w:rsidRPr="00C220C7">
        <w:rPr>
          <w:sz w:val="24"/>
          <w:szCs w:val="24"/>
        </w:rPr>
        <w:t>ERU</w:t>
      </w:r>
      <w:proofErr w:type="spellEnd"/>
      <w:r w:rsidR="00367D79" w:rsidRPr="00C220C7">
        <w:rPr>
          <w:sz w:val="24"/>
          <w:szCs w:val="24"/>
        </w:rPr>
        <w:t xml:space="preserve"> </w:t>
      </w:r>
      <w:r w:rsidR="00367D79">
        <w:rPr>
          <w:sz w:val="24"/>
          <w:szCs w:val="24"/>
        </w:rPr>
        <w:t xml:space="preserve">s ČNB a </w:t>
      </w:r>
      <w:proofErr w:type="spellStart"/>
      <w:r w:rsidR="00367D79">
        <w:rPr>
          <w:sz w:val="24"/>
          <w:szCs w:val="24"/>
        </w:rPr>
        <w:t>ÚHOS</w:t>
      </w:r>
      <w:proofErr w:type="spellEnd"/>
      <w:r w:rsidR="00367D79">
        <w:rPr>
          <w:sz w:val="24"/>
          <w:szCs w:val="24"/>
        </w:rPr>
        <w:t xml:space="preserve"> v rámci </w:t>
      </w:r>
      <w:r w:rsidR="00F50395">
        <w:rPr>
          <w:sz w:val="24"/>
          <w:szCs w:val="24"/>
        </w:rPr>
        <w:t xml:space="preserve">problematiky transparentnosti velkoobchodních trhů s elektřinou a zemním plynem, která je obdobně jako problematiky hospodářské soutěže </w:t>
      </w:r>
      <w:r w:rsidR="00E7158B">
        <w:rPr>
          <w:sz w:val="24"/>
          <w:szCs w:val="24"/>
        </w:rPr>
        <w:t>bližší</w:t>
      </w:r>
      <w:r w:rsidR="00F50395">
        <w:rPr>
          <w:sz w:val="24"/>
          <w:szCs w:val="24"/>
        </w:rPr>
        <w:t xml:space="preserve"> finančnímu právu a právu hospodářské soutěže, nežli tradičním institutům energetického práva. Z hlediska systematiky energetického práva je proto vhodné, aby spolupráce </w:t>
      </w:r>
      <w:proofErr w:type="spellStart"/>
      <w:r w:rsidR="00F50395">
        <w:rPr>
          <w:sz w:val="24"/>
          <w:szCs w:val="24"/>
        </w:rPr>
        <w:t>ERÚ</w:t>
      </w:r>
      <w:proofErr w:type="spellEnd"/>
      <w:r w:rsidR="00F50395">
        <w:rPr>
          <w:sz w:val="24"/>
          <w:szCs w:val="24"/>
        </w:rPr>
        <w:t xml:space="preserve"> s ČNB a </w:t>
      </w:r>
      <w:proofErr w:type="spellStart"/>
      <w:r w:rsidR="00F50395">
        <w:rPr>
          <w:sz w:val="24"/>
          <w:szCs w:val="24"/>
        </w:rPr>
        <w:t>ÚHOS</w:t>
      </w:r>
      <w:proofErr w:type="spellEnd"/>
      <w:r w:rsidR="00F50395">
        <w:rPr>
          <w:sz w:val="24"/>
          <w:szCs w:val="24"/>
        </w:rPr>
        <w:t xml:space="preserve"> byla upravena jednou právní normou, tj. </w:t>
      </w:r>
      <w:proofErr w:type="spellStart"/>
      <w:r w:rsidR="00F50395">
        <w:rPr>
          <w:sz w:val="24"/>
          <w:szCs w:val="24"/>
        </w:rPr>
        <w:t>EZ</w:t>
      </w:r>
      <w:proofErr w:type="spellEnd"/>
      <w:r w:rsidR="00F50395">
        <w:rPr>
          <w:sz w:val="24"/>
          <w:szCs w:val="24"/>
        </w:rPr>
        <w:t xml:space="preserve">.  </w:t>
      </w:r>
    </w:p>
    <w:p w:rsidR="004A689B" w:rsidRPr="006F5F3A" w:rsidRDefault="004A689B" w:rsidP="0097790B">
      <w:pPr>
        <w:pStyle w:val="Odstavecseseznamem"/>
        <w:numPr>
          <w:ilvl w:val="0"/>
          <w:numId w:val="1"/>
        </w:numPr>
        <w:rPr>
          <w:sz w:val="24"/>
          <w:szCs w:val="24"/>
        </w:rPr>
      </w:pPr>
      <w:r w:rsidRPr="006F5F3A">
        <w:rPr>
          <w:sz w:val="24"/>
          <w:szCs w:val="24"/>
        </w:rPr>
        <w:t xml:space="preserve">návrh zákona by alespoň na národní úrovni </w:t>
      </w:r>
      <w:r w:rsidR="006F5F3A">
        <w:rPr>
          <w:sz w:val="24"/>
          <w:szCs w:val="24"/>
        </w:rPr>
        <w:t xml:space="preserve">měl </w:t>
      </w:r>
      <w:r w:rsidRPr="006F5F3A">
        <w:rPr>
          <w:sz w:val="24"/>
          <w:szCs w:val="24"/>
        </w:rPr>
        <w:t>stanovit příslušné procesní náležitosti pro registraci účastníků trhu nebo povinnost</w:t>
      </w:r>
      <w:r w:rsidR="006F5F3A">
        <w:rPr>
          <w:sz w:val="24"/>
          <w:szCs w:val="24"/>
        </w:rPr>
        <w:t>i</w:t>
      </w:r>
      <w:r w:rsidRPr="006F5F3A">
        <w:rPr>
          <w:sz w:val="24"/>
          <w:szCs w:val="24"/>
        </w:rPr>
        <w:t xml:space="preserve"> zveřejňovat důvěrné informace (právně závazná pravidla na národní úrovni) při respektování pokynů </w:t>
      </w:r>
      <w:proofErr w:type="spellStart"/>
      <w:r w:rsidRPr="006F5F3A">
        <w:rPr>
          <w:sz w:val="24"/>
          <w:szCs w:val="24"/>
        </w:rPr>
        <w:t>ACER</w:t>
      </w:r>
      <w:proofErr w:type="spellEnd"/>
      <w:r w:rsidRPr="006F5F3A">
        <w:rPr>
          <w:sz w:val="24"/>
          <w:szCs w:val="24"/>
        </w:rPr>
        <w:t>, 3. vydání,</w:t>
      </w:r>
    </w:p>
    <w:p w:rsidR="00A44C99" w:rsidRPr="006F5F3A" w:rsidRDefault="0097790B" w:rsidP="0097790B">
      <w:pPr>
        <w:pStyle w:val="Odstavecseseznamem"/>
        <w:numPr>
          <w:ilvl w:val="0"/>
          <w:numId w:val="1"/>
        </w:numPr>
        <w:rPr>
          <w:sz w:val="24"/>
          <w:szCs w:val="24"/>
        </w:rPr>
      </w:pPr>
      <w:r w:rsidRPr="006F5F3A">
        <w:rPr>
          <w:sz w:val="24"/>
          <w:szCs w:val="24"/>
        </w:rPr>
        <w:t xml:space="preserve">provést ze strany </w:t>
      </w:r>
      <w:proofErr w:type="spellStart"/>
      <w:r w:rsidRPr="006F5F3A">
        <w:rPr>
          <w:sz w:val="24"/>
          <w:szCs w:val="24"/>
        </w:rPr>
        <w:t>ERÚ</w:t>
      </w:r>
      <w:proofErr w:type="spellEnd"/>
      <w:r w:rsidRPr="006F5F3A">
        <w:rPr>
          <w:sz w:val="24"/>
          <w:szCs w:val="24"/>
        </w:rPr>
        <w:t>, například formou metodických pokynů, detailní seznámení</w:t>
      </w:r>
      <w:r w:rsidR="00F71F72" w:rsidRPr="006F5F3A">
        <w:rPr>
          <w:sz w:val="24"/>
          <w:szCs w:val="24"/>
        </w:rPr>
        <w:t xml:space="preserve"> energetických společností působících na velkoobchodních trzích s energií s</w:t>
      </w:r>
      <w:r w:rsidR="00A44C99" w:rsidRPr="006F5F3A">
        <w:rPr>
          <w:sz w:val="24"/>
          <w:szCs w:val="24"/>
        </w:rPr>
        <w:t> </w:t>
      </w:r>
      <w:r w:rsidR="00F71F72" w:rsidRPr="006F5F3A">
        <w:rPr>
          <w:sz w:val="24"/>
          <w:szCs w:val="24"/>
        </w:rPr>
        <w:t>povinnostmi</w:t>
      </w:r>
      <w:r w:rsidR="00A44C99" w:rsidRPr="006F5F3A">
        <w:rPr>
          <w:sz w:val="24"/>
          <w:szCs w:val="24"/>
        </w:rPr>
        <w:t xml:space="preserve"> zejména v oblasti registračního procesu účastníků trhu a dalších procesních záležitostí</w:t>
      </w:r>
      <w:r w:rsidR="00F71F72" w:rsidRPr="006F5F3A">
        <w:rPr>
          <w:sz w:val="24"/>
          <w:szCs w:val="24"/>
        </w:rPr>
        <w:t xml:space="preserve">, </w:t>
      </w:r>
    </w:p>
    <w:p w:rsidR="00821269" w:rsidRPr="006F5F3A" w:rsidRDefault="00821269" w:rsidP="0097790B">
      <w:pPr>
        <w:pStyle w:val="Odstavecseseznamem"/>
        <w:numPr>
          <w:ilvl w:val="0"/>
          <w:numId w:val="1"/>
        </w:numPr>
        <w:rPr>
          <w:sz w:val="24"/>
          <w:szCs w:val="24"/>
        </w:rPr>
      </w:pPr>
      <w:r w:rsidRPr="006F5F3A">
        <w:rPr>
          <w:sz w:val="24"/>
          <w:szCs w:val="24"/>
        </w:rPr>
        <w:t>v žádném případě není možné</w:t>
      </w:r>
      <w:r w:rsidR="007533E6" w:rsidRPr="006F5F3A">
        <w:rPr>
          <w:sz w:val="24"/>
          <w:szCs w:val="24"/>
        </w:rPr>
        <w:t xml:space="preserve"> zcela</w:t>
      </w:r>
      <w:r w:rsidRPr="006F5F3A">
        <w:rPr>
          <w:sz w:val="24"/>
          <w:szCs w:val="24"/>
        </w:rPr>
        <w:t xml:space="preserve"> koncentrovat pozornost pouze na kontrolní a sankční činnost ze strany regulátora bez řádného nastavení všech potřebných procesů</w:t>
      </w:r>
      <w:r w:rsidR="00CC262F" w:rsidRPr="006F5F3A">
        <w:rPr>
          <w:sz w:val="24"/>
          <w:szCs w:val="24"/>
        </w:rPr>
        <w:t xml:space="preserve"> </w:t>
      </w:r>
      <w:r w:rsidR="006F5F3A">
        <w:rPr>
          <w:sz w:val="24"/>
          <w:szCs w:val="24"/>
        </w:rPr>
        <w:t xml:space="preserve">pro </w:t>
      </w:r>
      <w:r w:rsidR="00CC262F" w:rsidRPr="006F5F3A">
        <w:rPr>
          <w:sz w:val="24"/>
          <w:szCs w:val="24"/>
        </w:rPr>
        <w:t>vyjasnění konkrétních možných případů narušení</w:t>
      </w:r>
      <w:r w:rsidR="00A44C99" w:rsidRPr="006F5F3A">
        <w:rPr>
          <w:sz w:val="24"/>
          <w:szCs w:val="24"/>
        </w:rPr>
        <w:t xml:space="preserve"> velkoobchodního trhu s</w:t>
      </w:r>
      <w:r w:rsidR="006F5F3A">
        <w:rPr>
          <w:sz w:val="24"/>
          <w:szCs w:val="24"/>
        </w:rPr>
        <w:t> </w:t>
      </w:r>
      <w:r w:rsidR="00A44C99" w:rsidRPr="006F5F3A">
        <w:rPr>
          <w:sz w:val="24"/>
          <w:szCs w:val="24"/>
        </w:rPr>
        <w:t>energií</w:t>
      </w:r>
      <w:r w:rsidR="006F5F3A">
        <w:rPr>
          <w:sz w:val="24"/>
          <w:szCs w:val="24"/>
        </w:rPr>
        <w:t>;</w:t>
      </w:r>
      <w:r w:rsidR="00A44C99" w:rsidRPr="006F5F3A">
        <w:rPr>
          <w:sz w:val="24"/>
          <w:szCs w:val="24"/>
        </w:rPr>
        <w:t xml:space="preserve"> v ČR zatím neproběhla žádná podrobnější diskuse s dotčenými subjekty k implementaci </w:t>
      </w:r>
      <w:proofErr w:type="spellStart"/>
      <w:r w:rsidR="00A44C99" w:rsidRPr="006F5F3A">
        <w:rPr>
          <w:sz w:val="24"/>
          <w:szCs w:val="24"/>
        </w:rPr>
        <w:t>REMIT</w:t>
      </w:r>
      <w:proofErr w:type="spellEnd"/>
      <w:r w:rsidR="00A44C99" w:rsidRPr="006F5F3A">
        <w:rPr>
          <w:sz w:val="24"/>
          <w:szCs w:val="24"/>
        </w:rPr>
        <w:t>,</w:t>
      </w:r>
    </w:p>
    <w:p w:rsidR="00B15DA9" w:rsidRPr="006F5F3A" w:rsidRDefault="00A44C99" w:rsidP="0097790B">
      <w:pPr>
        <w:pStyle w:val="Odstavecseseznamem"/>
        <w:numPr>
          <w:ilvl w:val="0"/>
          <w:numId w:val="1"/>
        </w:numPr>
        <w:rPr>
          <w:sz w:val="24"/>
          <w:szCs w:val="24"/>
        </w:rPr>
      </w:pPr>
      <w:r w:rsidRPr="006F5F3A">
        <w:rPr>
          <w:sz w:val="24"/>
          <w:szCs w:val="24"/>
        </w:rPr>
        <w:t>vnímáme silnou potřebu detailně</w:t>
      </w:r>
      <w:r w:rsidR="007533E6" w:rsidRPr="006F5F3A">
        <w:rPr>
          <w:sz w:val="24"/>
          <w:szCs w:val="24"/>
        </w:rPr>
        <w:t>jších a otevřených konzultací s</w:t>
      </w:r>
      <w:r w:rsidRPr="006F5F3A">
        <w:rPr>
          <w:sz w:val="24"/>
          <w:szCs w:val="24"/>
        </w:rPr>
        <w:t xml:space="preserve"> </w:t>
      </w:r>
      <w:r w:rsidR="007533E6" w:rsidRPr="006F5F3A">
        <w:rPr>
          <w:sz w:val="24"/>
          <w:szCs w:val="24"/>
        </w:rPr>
        <w:t xml:space="preserve">účastí </w:t>
      </w:r>
      <w:r w:rsidRPr="006F5F3A">
        <w:rPr>
          <w:sz w:val="24"/>
          <w:szCs w:val="24"/>
        </w:rPr>
        <w:t xml:space="preserve">dotčených subjektů jako velmi žádoucí, funkci konzultací nemůže suplovat meziresortní připomínkové řízení, které je primárně zaměřeno na dodržení legislativních postupů, které v případě </w:t>
      </w:r>
      <w:proofErr w:type="spellStart"/>
      <w:r w:rsidRPr="006F5F3A">
        <w:rPr>
          <w:sz w:val="24"/>
          <w:szCs w:val="24"/>
        </w:rPr>
        <w:t>REMIT</w:t>
      </w:r>
      <w:proofErr w:type="spellEnd"/>
      <w:r w:rsidRPr="006F5F3A">
        <w:rPr>
          <w:sz w:val="24"/>
          <w:szCs w:val="24"/>
        </w:rPr>
        <w:t xml:space="preserve"> nebyly ještě diskutovány a nastaveny</w:t>
      </w:r>
      <w:r w:rsidR="00B15DA9" w:rsidRPr="006F5F3A">
        <w:rPr>
          <w:sz w:val="24"/>
          <w:szCs w:val="24"/>
        </w:rPr>
        <w:t>,</w:t>
      </w:r>
    </w:p>
    <w:p w:rsidR="00A44C99" w:rsidRPr="004E0271" w:rsidRDefault="00B15DA9" w:rsidP="0097790B">
      <w:pPr>
        <w:pStyle w:val="Odstavecseseznamem"/>
        <w:numPr>
          <w:ilvl w:val="0"/>
          <w:numId w:val="1"/>
        </w:numPr>
        <w:rPr>
          <w:sz w:val="24"/>
          <w:szCs w:val="24"/>
        </w:rPr>
      </w:pPr>
      <w:r w:rsidRPr="004E0271">
        <w:rPr>
          <w:sz w:val="24"/>
          <w:szCs w:val="24"/>
        </w:rPr>
        <w:lastRenderedPageBreak/>
        <w:t xml:space="preserve">doporučujeme znovu zvážit variantu přijetí samostatného zákona k implementaci </w:t>
      </w:r>
      <w:proofErr w:type="spellStart"/>
      <w:r w:rsidRPr="004E0271">
        <w:rPr>
          <w:sz w:val="24"/>
          <w:szCs w:val="24"/>
        </w:rPr>
        <w:t>REMIT</w:t>
      </w:r>
      <w:proofErr w:type="spellEnd"/>
      <w:r w:rsidRPr="004E0271">
        <w:rPr>
          <w:sz w:val="24"/>
          <w:szCs w:val="24"/>
        </w:rPr>
        <w:t xml:space="preserve">, </w:t>
      </w:r>
      <w:r w:rsidR="006F5F3A" w:rsidRPr="004E0271">
        <w:rPr>
          <w:sz w:val="24"/>
          <w:szCs w:val="24"/>
        </w:rPr>
        <w:t xml:space="preserve">ještě jednou uvádíme, že </w:t>
      </w:r>
      <w:r w:rsidRPr="004E0271">
        <w:rPr>
          <w:sz w:val="24"/>
          <w:szCs w:val="24"/>
        </w:rPr>
        <w:t>považujeme</w:t>
      </w:r>
      <w:r w:rsidR="007533E6" w:rsidRPr="004E0271">
        <w:rPr>
          <w:sz w:val="24"/>
          <w:szCs w:val="24"/>
        </w:rPr>
        <w:t xml:space="preserve"> </w:t>
      </w:r>
      <w:r w:rsidRPr="004E0271">
        <w:rPr>
          <w:sz w:val="24"/>
          <w:szCs w:val="24"/>
        </w:rPr>
        <w:t xml:space="preserve">za vhodné potřebné změny národní legislativy </w:t>
      </w:r>
      <w:r w:rsidR="006F5F3A" w:rsidRPr="004E0271">
        <w:rPr>
          <w:sz w:val="24"/>
          <w:szCs w:val="24"/>
        </w:rPr>
        <w:t xml:space="preserve">spíše </w:t>
      </w:r>
      <w:r w:rsidRPr="004E0271">
        <w:rPr>
          <w:sz w:val="24"/>
          <w:szCs w:val="24"/>
        </w:rPr>
        <w:t>provést v rámci novelizace energetického zákona.</w:t>
      </w:r>
    </w:p>
    <w:p w:rsidR="004E0271" w:rsidRPr="004E0271" w:rsidRDefault="004E0271" w:rsidP="004E0271">
      <w:pPr>
        <w:ind w:left="360"/>
        <w:jc w:val="both"/>
        <w:rPr>
          <w:rStyle w:val="Siln"/>
          <w:b w:val="0"/>
        </w:rPr>
      </w:pPr>
      <w:r w:rsidRPr="004E0271">
        <w:rPr>
          <w:rStyle w:val="Siln"/>
          <w:b w:val="0"/>
        </w:rPr>
        <w:t>Níže uvádíme připomínky k jednotlivým ustanovením návrhu zákona.</w:t>
      </w:r>
    </w:p>
    <w:p w:rsidR="004E0271" w:rsidRDefault="004E0271" w:rsidP="004E0271">
      <w:pPr>
        <w:ind w:left="360"/>
        <w:rPr>
          <w:rStyle w:val="Siln"/>
          <w:b w:val="0"/>
        </w:rPr>
      </w:pPr>
    </w:p>
    <w:p w:rsidR="004E0271" w:rsidRDefault="003803D7" w:rsidP="004E0271">
      <w:pPr>
        <w:ind w:left="360"/>
        <w:rPr>
          <w:rStyle w:val="Siln"/>
          <w:b w:val="0"/>
        </w:rPr>
      </w:pPr>
      <w:r>
        <w:rPr>
          <w:rStyle w:val="Siln"/>
          <w:b w:val="0"/>
        </w:rPr>
        <w:t>V Praze dne 18. 11. 2013</w:t>
      </w: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4E0271" w:rsidRDefault="004E0271"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3803D7" w:rsidRDefault="003803D7" w:rsidP="004E0271">
      <w:pPr>
        <w:ind w:left="360"/>
        <w:rPr>
          <w:rStyle w:val="Siln"/>
          <w:b w:val="0"/>
        </w:rPr>
      </w:pPr>
    </w:p>
    <w:p w:rsidR="004E0271" w:rsidRPr="004E0271" w:rsidRDefault="004E0271" w:rsidP="004E0271">
      <w:pPr>
        <w:ind w:left="360"/>
        <w:rPr>
          <w:rStyle w:val="Siln"/>
          <w:sz w:val="24"/>
          <w:szCs w:val="24"/>
        </w:rPr>
      </w:pPr>
      <w:r w:rsidRPr="004E0271">
        <w:rPr>
          <w:rStyle w:val="Siln"/>
          <w:sz w:val="24"/>
          <w:szCs w:val="24"/>
        </w:rPr>
        <w:lastRenderedPageBreak/>
        <w:t>K části první návrhu</w:t>
      </w:r>
    </w:p>
    <w:p w:rsidR="004E0271" w:rsidRPr="004E0271" w:rsidRDefault="004E0271" w:rsidP="004E0271">
      <w:pPr>
        <w:ind w:left="360"/>
        <w:rPr>
          <w:rStyle w:val="Siln"/>
          <w:sz w:val="24"/>
          <w:szCs w:val="24"/>
        </w:rPr>
      </w:pPr>
      <w:r w:rsidRPr="004E0271">
        <w:rPr>
          <w:rStyle w:val="Siln"/>
          <w:sz w:val="24"/>
          <w:szCs w:val="24"/>
        </w:rPr>
        <w:t>§ 2 Základní pojmy</w:t>
      </w:r>
    </w:p>
    <w:p w:rsidR="004E0271" w:rsidRPr="004E0271" w:rsidRDefault="004E0271" w:rsidP="004E0271">
      <w:pPr>
        <w:ind w:left="360"/>
        <w:jc w:val="both"/>
        <w:rPr>
          <w:sz w:val="24"/>
          <w:szCs w:val="24"/>
          <w:u w:val="single"/>
        </w:rPr>
      </w:pPr>
      <w:r w:rsidRPr="004E0271">
        <w:rPr>
          <w:sz w:val="24"/>
          <w:szCs w:val="24"/>
          <w:u w:val="single"/>
        </w:rPr>
        <w:t>Znění návrhu:</w:t>
      </w:r>
    </w:p>
    <w:p w:rsidR="004E0271" w:rsidRPr="004E0271" w:rsidRDefault="004E0271" w:rsidP="004E0271">
      <w:pPr>
        <w:ind w:left="360"/>
        <w:jc w:val="both"/>
        <w:rPr>
          <w:sz w:val="24"/>
          <w:szCs w:val="24"/>
        </w:rPr>
      </w:pPr>
      <w:r w:rsidRPr="004E0271">
        <w:rPr>
          <w:sz w:val="24"/>
          <w:szCs w:val="24"/>
        </w:rPr>
        <w:t>Navrhujeme bez náhrady vypustit § 2.</w:t>
      </w:r>
    </w:p>
    <w:p w:rsidR="004E0271" w:rsidRPr="004E0271" w:rsidRDefault="004E0271" w:rsidP="004E0271">
      <w:pPr>
        <w:ind w:left="360"/>
        <w:jc w:val="both"/>
        <w:rPr>
          <w:sz w:val="24"/>
          <w:szCs w:val="24"/>
          <w:u w:val="single"/>
        </w:rPr>
      </w:pPr>
      <w:r w:rsidRPr="004E0271">
        <w:rPr>
          <w:sz w:val="24"/>
          <w:szCs w:val="24"/>
          <w:u w:val="single"/>
        </w:rPr>
        <w:t>Odůvodnění:</w:t>
      </w:r>
    </w:p>
    <w:p w:rsidR="004E0271" w:rsidRPr="004E0271" w:rsidRDefault="00F50395" w:rsidP="004E0271">
      <w:pPr>
        <w:ind w:left="360"/>
        <w:jc w:val="both"/>
        <w:rPr>
          <w:sz w:val="24"/>
          <w:szCs w:val="24"/>
        </w:rPr>
      </w:pPr>
      <w:r w:rsidRPr="00C220C7">
        <w:rPr>
          <w:sz w:val="24"/>
          <w:szCs w:val="24"/>
        </w:rPr>
        <w:t xml:space="preserve">Nařízení </w:t>
      </w:r>
      <w:proofErr w:type="spellStart"/>
      <w:r w:rsidRPr="00C220C7">
        <w:rPr>
          <w:sz w:val="24"/>
          <w:szCs w:val="24"/>
        </w:rPr>
        <w:t>REMIT</w:t>
      </w:r>
      <w:proofErr w:type="spellEnd"/>
      <w:r w:rsidRPr="00C220C7">
        <w:rPr>
          <w:sz w:val="24"/>
          <w:szCs w:val="24"/>
        </w:rPr>
        <w:t xml:space="preserve"> je přímo účinný unijní právní předpis</w:t>
      </w:r>
      <w:r>
        <w:rPr>
          <w:sz w:val="24"/>
          <w:szCs w:val="24"/>
        </w:rPr>
        <w:t xml:space="preserve">. Nařízení </w:t>
      </w:r>
      <w:proofErr w:type="spellStart"/>
      <w:r>
        <w:rPr>
          <w:sz w:val="24"/>
          <w:szCs w:val="24"/>
        </w:rPr>
        <w:t>REMIT</w:t>
      </w:r>
      <w:proofErr w:type="spellEnd"/>
      <w:r>
        <w:rPr>
          <w:sz w:val="24"/>
          <w:szCs w:val="24"/>
        </w:rPr>
        <w:t xml:space="preserve"> vyžaduje </w:t>
      </w:r>
      <w:r w:rsidRPr="006F5F3A">
        <w:rPr>
          <w:sz w:val="24"/>
          <w:szCs w:val="24"/>
        </w:rPr>
        <w:t xml:space="preserve">implementovat </w:t>
      </w:r>
      <w:r w:rsidRPr="00C220C7">
        <w:rPr>
          <w:sz w:val="24"/>
          <w:szCs w:val="24"/>
        </w:rPr>
        <w:t xml:space="preserve">do vnitrostátního právního řádu </w:t>
      </w:r>
      <w:r>
        <w:rPr>
          <w:sz w:val="24"/>
          <w:szCs w:val="24"/>
        </w:rPr>
        <w:t xml:space="preserve">jenom </w:t>
      </w:r>
      <w:r w:rsidRPr="00C220C7">
        <w:rPr>
          <w:sz w:val="24"/>
          <w:szCs w:val="24"/>
        </w:rPr>
        <w:t>instituty uvedené v čl. 13 a 18</w:t>
      </w:r>
      <w:r>
        <w:rPr>
          <w:sz w:val="24"/>
          <w:szCs w:val="24"/>
        </w:rPr>
        <w:t>.</w:t>
      </w:r>
      <w:r w:rsidRPr="00C220C7">
        <w:rPr>
          <w:sz w:val="24"/>
          <w:szCs w:val="24"/>
        </w:rPr>
        <w:t xml:space="preserve"> </w:t>
      </w:r>
      <w:r>
        <w:rPr>
          <w:sz w:val="24"/>
          <w:szCs w:val="24"/>
        </w:rPr>
        <w:t xml:space="preserve"> </w:t>
      </w:r>
      <w:r w:rsidRPr="004E0271">
        <w:rPr>
          <w:sz w:val="24"/>
          <w:szCs w:val="24"/>
        </w:rPr>
        <w:t xml:space="preserve"> </w:t>
      </w:r>
      <w:r w:rsidR="004E0271" w:rsidRPr="004E0271">
        <w:rPr>
          <w:sz w:val="24"/>
          <w:szCs w:val="24"/>
        </w:rPr>
        <w:t xml:space="preserve">Ustanovení </w:t>
      </w:r>
      <w:r w:rsidR="00072D9D" w:rsidRPr="00D6105F">
        <w:rPr>
          <w:rFonts w:ascii="Times New Roman" w:hAnsi="Times New Roman"/>
          <w:sz w:val="24"/>
          <w:szCs w:val="24"/>
        </w:rPr>
        <w:t>§ 2</w:t>
      </w:r>
      <w:r w:rsidR="00072D9D">
        <w:rPr>
          <w:rFonts w:ascii="Times New Roman" w:hAnsi="Times New Roman"/>
          <w:sz w:val="24"/>
          <w:szCs w:val="24"/>
        </w:rPr>
        <w:t xml:space="preserve"> </w:t>
      </w:r>
      <w:r w:rsidR="004E0271" w:rsidRPr="004E0271">
        <w:rPr>
          <w:sz w:val="24"/>
          <w:szCs w:val="24"/>
        </w:rPr>
        <w:t>návrhu zákona pouze, v rozporu s</w:t>
      </w:r>
      <w:r w:rsidR="00072D9D">
        <w:rPr>
          <w:sz w:val="24"/>
          <w:szCs w:val="24"/>
        </w:rPr>
        <w:t xml:space="preserve"> přímou účinností nařízení a s </w:t>
      </w:r>
      <w:r w:rsidR="004E0271" w:rsidRPr="004E0271">
        <w:rPr>
          <w:sz w:val="24"/>
          <w:szCs w:val="24"/>
        </w:rPr>
        <w:t>požadavky judikatury Soudního dvora EU, „opisují“</w:t>
      </w:r>
      <w:r w:rsidR="00072D9D" w:rsidRPr="00072D9D">
        <w:rPr>
          <w:rFonts w:ascii="Times New Roman" w:hAnsi="Times New Roman"/>
          <w:sz w:val="24"/>
          <w:szCs w:val="24"/>
        </w:rPr>
        <w:t xml:space="preserve"> </w:t>
      </w:r>
      <w:r w:rsidR="00072D9D">
        <w:rPr>
          <w:rFonts w:ascii="Times New Roman" w:hAnsi="Times New Roman"/>
          <w:sz w:val="24"/>
          <w:szCs w:val="24"/>
        </w:rPr>
        <w:t xml:space="preserve">některé definice čl. 2 nařízení </w:t>
      </w:r>
      <w:proofErr w:type="spellStart"/>
      <w:r w:rsidR="00072D9D">
        <w:rPr>
          <w:rFonts w:ascii="Times New Roman" w:hAnsi="Times New Roman"/>
          <w:sz w:val="24"/>
          <w:szCs w:val="24"/>
        </w:rPr>
        <w:t>REMIT</w:t>
      </w:r>
      <w:proofErr w:type="spellEnd"/>
      <w:r w:rsidR="00072D9D">
        <w:rPr>
          <w:rFonts w:ascii="Times New Roman" w:hAnsi="Times New Roman"/>
          <w:sz w:val="24"/>
          <w:szCs w:val="24"/>
        </w:rPr>
        <w:t>.</w:t>
      </w:r>
      <w:r w:rsidR="004E0271" w:rsidRPr="004E0271">
        <w:rPr>
          <w:sz w:val="24"/>
          <w:szCs w:val="24"/>
        </w:rPr>
        <w:t xml:space="preserve"> </w:t>
      </w:r>
      <w:r w:rsidR="00072D9D">
        <w:rPr>
          <w:sz w:val="24"/>
          <w:szCs w:val="24"/>
        </w:rPr>
        <w:t xml:space="preserve"> N</w:t>
      </w:r>
      <w:r w:rsidR="00072D9D" w:rsidRPr="004E0271">
        <w:rPr>
          <w:sz w:val="24"/>
          <w:szCs w:val="24"/>
        </w:rPr>
        <w:t xml:space="preserve">avrhujeme </w:t>
      </w:r>
      <w:r w:rsidR="004E0271" w:rsidRPr="004E0271">
        <w:rPr>
          <w:sz w:val="24"/>
          <w:szCs w:val="24"/>
        </w:rPr>
        <w:t xml:space="preserve">proto jejich vypuštění bez náhrady. </w:t>
      </w:r>
    </w:p>
    <w:p w:rsidR="004E0271" w:rsidRPr="004E0271" w:rsidRDefault="004E0271" w:rsidP="004E0271">
      <w:pPr>
        <w:ind w:left="360"/>
        <w:jc w:val="both"/>
        <w:rPr>
          <w:sz w:val="24"/>
          <w:szCs w:val="24"/>
        </w:rPr>
      </w:pPr>
    </w:p>
    <w:p w:rsidR="004E0271" w:rsidRPr="004E0271" w:rsidRDefault="004E0271" w:rsidP="004E0271">
      <w:pPr>
        <w:ind w:left="360"/>
        <w:jc w:val="both"/>
        <w:rPr>
          <w:b/>
          <w:sz w:val="24"/>
          <w:szCs w:val="24"/>
        </w:rPr>
      </w:pPr>
      <w:r w:rsidRPr="004E0271">
        <w:rPr>
          <w:b/>
          <w:sz w:val="24"/>
          <w:szCs w:val="24"/>
        </w:rPr>
        <w:t xml:space="preserve">§ 4 Poskytování informací </w:t>
      </w:r>
    </w:p>
    <w:p w:rsidR="004E0271" w:rsidRPr="004E0271" w:rsidRDefault="004E0271" w:rsidP="004E0271">
      <w:pPr>
        <w:ind w:left="360"/>
        <w:jc w:val="both"/>
        <w:rPr>
          <w:sz w:val="24"/>
          <w:szCs w:val="24"/>
          <w:u w:val="single"/>
        </w:rPr>
      </w:pPr>
      <w:r w:rsidRPr="004E0271">
        <w:rPr>
          <w:sz w:val="24"/>
          <w:szCs w:val="24"/>
          <w:u w:val="single"/>
        </w:rPr>
        <w:t>Znění návrhu:</w:t>
      </w:r>
    </w:p>
    <w:p w:rsidR="004E0271" w:rsidRPr="004E0271" w:rsidRDefault="004E0271" w:rsidP="004E0271">
      <w:pPr>
        <w:ind w:left="360"/>
        <w:jc w:val="both"/>
        <w:rPr>
          <w:sz w:val="24"/>
          <w:szCs w:val="24"/>
        </w:rPr>
      </w:pPr>
      <w:r w:rsidRPr="004E0271">
        <w:rPr>
          <w:sz w:val="24"/>
          <w:szCs w:val="24"/>
        </w:rPr>
        <w:t>Navrhujeme nové znění § 4:</w:t>
      </w:r>
    </w:p>
    <w:p w:rsidR="004E0271" w:rsidRPr="004E0271" w:rsidRDefault="004E0271" w:rsidP="004E0271">
      <w:pPr>
        <w:pStyle w:val="Textodstavce"/>
        <w:numPr>
          <w:ilvl w:val="0"/>
          <w:numId w:val="0"/>
        </w:numPr>
        <w:spacing w:before="0" w:after="200" w:line="276" w:lineRule="auto"/>
        <w:ind w:left="425"/>
        <w:rPr>
          <w:rFonts w:asciiTheme="minorHAnsi" w:eastAsiaTheme="minorEastAsia" w:hAnsiTheme="minorHAnsi" w:cstheme="minorBidi"/>
          <w:szCs w:val="24"/>
        </w:rPr>
      </w:pPr>
      <w:r w:rsidRPr="004E0271">
        <w:rPr>
          <w:rFonts w:asciiTheme="minorHAnsi" w:eastAsiaTheme="minorEastAsia" w:hAnsiTheme="minorHAnsi" w:cstheme="minorBidi"/>
          <w:szCs w:val="24"/>
        </w:rPr>
        <w:t>„(1) Úřad je oprávněn písemně požádat účastníka trhu nebo osoby uvedené v čl. 15 Nařízení, aby mu poskytli úplné, správné a pravdivé podklady a informace, které mohou mít význam pro výkon působnosti Úřadu při provádění monitorování velkoobchodního trhu s energií, a stanoví k tomu přiměřenou lhůtu. Při jejich vyžádání Úřad uvede právní důvod, specifikaci požadovaného pokladu anebo rozsah požadované informace a upozorní na možnost uložení pokuty při neposkytnutí požadovaného podkladu nebo požadované informace.</w:t>
      </w:r>
    </w:p>
    <w:p w:rsidR="004E0271" w:rsidRPr="004E0271" w:rsidRDefault="004E0271" w:rsidP="004E0271">
      <w:pPr>
        <w:pStyle w:val="Textodstavce"/>
        <w:numPr>
          <w:ilvl w:val="0"/>
          <w:numId w:val="0"/>
        </w:numPr>
        <w:spacing w:before="0" w:after="200" w:line="276" w:lineRule="auto"/>
        <w:ind w:left="425"/>
        <w:rPr>
          <w:rFonts w:asciiTheme="minorHAnsi" w:eastAsiaTheme="minorEastAsia" w:hAnsiTheme="minorHAnsi" w:cstheme="minorBidi"/>
          <w:szCs w:val="24"/>
        </w:rPr>
      </w:pPr>
      <w:r w:rsidRPr="004E0271">
        <w:rPr>
          <w:rFonts w:asciiTheme="minorHAnsi" w:eastAsiaTheme="minorEastAsia" w:hAnsiTheme="minorHAnsi" w:cstheme="minorBidi"/>
          <w:szCs w:val="24"/>
        </w:rPr>
        <w:t>(2) Ustanovení odstavce 1 se použije obdobně i ve vztahu k osobám, které jsou součásti téhož koncernu jako účastník trhu, nebo které vykonávají kontrolu nad účastníkem trhu.“</w:t>
      </w:r>
    </w:p>
    <w:p w:rsidR="004E0271" w:rsidRPr="004E0271" w:rsidRDefault="004E0271" w:rsidP="004E0271">
      <w:pPr>
        <w:ind w:left="360"/>
        <w:jc w:val="both"/>
        <w:rPr>
          <w:rFonts w:eastAsiaTheme="minorEastAsia"/>
          <w:sz w:val="24"/>
          <w:szCs w:val="24"/>
          <w:u w:val="single"/>
        </w:rPr>
      </w:pPr>
      <w:r w:rsidRPr="004E0271">
        <w:rPr>
          <w:sz w:val="24"/>
          <w:szCs w:val="24"/>
          <w:u w:val="single"/>
        </w:rPr>
        <w:t>Odůvodnění:</w:t>
      </w:r>
    </w:p>
    <w:p w:rsidR="004E0271" w:rsidRPr="004E0271" w:rsidRDefault="004E0271" w:rsidP="004E0271">
      <w:pPr>
        <w:ind w:left="360"/>
        <w:jc w:val="both"/>
        <w:rPr>
          <w:sz w:val="24"/>
          <w:szCs w:val="24"/>
        </w:rPr>
      </w:pPr>
      <w:r w:rsidRPr="004E0271">
        <w:rPr>
          <w:sz w:val="24"/>
          <w:szCs w:val="24"/>
        </w:rPr>
        <w:t>Návrh zákona by měl ve vztahu k povinnosti poskytnout informace jednoznačněji rozlišovat:</w:t>
      </w:r>
    </w:p>
    <w:p w:rsidR="004E0271" w:rsidRPr="004E0271" w:rsidRDefault="004E0271" w:rsidP="004E0271">
      <w:pPr>
        <w:pStyle w:val="Odstavecseseznamem"/>
        <w:numPr>
          <w:ilvl w:val="0"/>
          <w:numId w:val="3"/>
        </w:numPr>
        <w:jc w:val="both"/>
        <w:rPr>
          <w:sz w:val="24"/>
          <w:szCs w:val="24"/>
        </w:rPr>
      </w:pPr>
      <w:r w:rsidRPr="004E0271">
        <w:rPr>
          <w:sz w:val="24"/>
          <w:szCs w:val="24"/>
        </w:rPr>
        <w:t xml:space="preserve">Okruh povinných osob v případě výkonu obecné působnosti </w:t>
      </w:r>
      <w:proofErr w:type="spellStart"/>
      <w:r w:rsidRPr="004E0271">
        <w:rPr>
          <w:sz w:val="24"/>
          <w:szCs w:val="24"/>
        </w:rPr>
        <w:t>ERÚ</w:t>
      </w:r>
      <w:proofErr w:type="spellEnd"/>
      <w:r w:rsidRPr="004E0271">
        <w:rPr>
          <w:sz w:val="24"/>
          <w:szCs w:val="24"/>
        </w:rPr>
        <w:t xml:space="preserve"> v souvislosti s monitorováním trhu (čl. 7 </w:t>
      </w:r>
      <w:proofErr w:type="spellStart"/>
      <w:r w:rsidRPr="004E0271">
        <w:rPr>
          <w:sz w:val="24"/>
          <w:szCs w:val="24"/>
        </w:rPr>
        <w:t>REMIT</w:t>
      </w:r>
      <w:proofErr w:type="spellEnd"/>
      <w:r w:rsidRPr="004E0271">
        <w:rPr>
          <w:sz w:val="24"/>
          <w:szCs w:val="24"/>
        </w:rPr>
        <w:t xml:space="preserve">), mimo výkon kontrolních a vyšetřovacích pravomocí </w:t>
      </w:r>
      <w:proofErr w:type="spellStart"/>
      <w:r w:rsidRPr="004E0271">
        <w:rPr>
          <w:sz w:val="24"/>
          <w:szCs w:val="24"/>
        </w:rPr>
        <w:t>ERÚ</w:t>
      </w:r>
      <w:proofErr w:type="spellEnd"/>
      <w:r w:rsidRPr="004E0271">
        <w:rPr>
          <w:sz w:val="24"/>
          <w:szCs w:val="24"/>
        </w:rPr>
        <w:t xml:space="preserve">; </w:t>
      </w:r>
    </w:p>
    <w:p w:rsidR="004E0271" w:rsidRPr="004E0271" w:rsidRDefault="004E0271" w:rsidP="004E0271">
      <w:pPr>
        <w:pStyle w:val="Odstavecseseznamem"/>
        <w:numPr>
          <w:ilvl w:val="0"/>
          <w:numId w:val="3"/>
        </w:numPr>
        <w:jc w:val="both"/>
        <w:rPr>
          <w:sz w:val="24"/>
          <w:szCs w:val="24"/>
        </w:rPr>
      </w:pPr>
      <w:r w:rsidRPr="004E0271">
        <w:rPr>
          <w:sz w:val="24"/>
          <w:szCs w:val="24"/>
        </w:rPr>
        <w:t xml:space="preserve">Okruh povinných osob v případě výkonu kontrolních a vyšetřovacích pravomocí </w:t>
      </w:r>
      <w:proofErr w:type="spellStart"/>
      <w:r w:rsidRPr="004E0271">
        <w:rPr>
          <w:sz w:val="24"/>
          <w:szCs w:val="24"/>
        </w:rPr>
        <w:t>ERÚ</w:t>
      </w:r>
      <w:proofErr w:type="spellEnd"/>
      <w:r w:rsidRPr="004E0271">
        <w:rPr>
          <w:sz w:val="24"/>
          <w:szCs w:val="24"/>
        </w:rPr>
        <w:t xml:space="preserve"> (v rozsahu dle čl. 13 odst. 2 </w:t>
      </w:r>
      <w:proofErr w:type="spellStart"/>
      <w:r w:rsidRPr="004E0271">
        <w:rPr>
          <w:sz w:val="24"/>
          <w:szCs w:val="24"/>
        </w:rPr>
        <w:t>REMIT</w:t>
      </w:r>
      <w:proofErr w:type="spellEnd"/>
      <w:r w:rsidRPr="004E0271">
        <w:rPr>
          <w:sz w:val="24"/>
          <w:szCs w:val="24"/>
        </w:rPr>
        <w:t>)</w:t>
      </w:r>
    </w:p>
    <w:p w:rsidR="004E0271" w:rsidRPr="004E0271" w:rsidRDefault="004E0271" w:rsidP="004E0271">
      <w:pPr>
        <w:ind w:left="360"/>
        <w:jc w:val="both"/>
        <w:rPr>
          <w:sz w:val="24"/>
          <w:szCs w:val="24"/>
        </w:rPr>
      </w:pPr>
      <w:r w:rsidRPr="004E0271">
        <w:rPr>
          <w:sz w:val="24"/>
          <w:szCs w:val="24"/>
        </w:rPr>
        <w:lastRenderedPageBreak/>
        <w:t xml:space="preserve">Z návrhu zákona není toto rozhraní zcela zřetelné, proto navrhujeme upřesnění § 4, které by mělo postihnout první případ. </w:t>
      </w:r>
    </w:p>
    <w:p w:rsidR="004E0271" w:rsidRPr="004E0271" w:rsidRDefault="004E0271" w:rsidP="004E0271">
      <w:pPr>
        <w:ind w:left="360"/>
        <w:jc w:val="both"/>
        <w:rPr>
          <w:sz w:val="24"/>
          <w:szCs w:val="24"/>
        </w:rPr>
      </w:pPr>
      <w:r w:rsidRPr="004E0271">
        <w:rPr>
          <w:sz w:val="24"/>
          <w:szCs w:val="24"/>
        </w:rPr>
        <w:t xml:space="preserve">Zároveň navrhujeme, aby při vyžádání určitého podkladu nebo informace byl </w:t>
      </w:r>
      <w:proofErr w:type="spellStart"/>
      <w:r w:rsidRPr="004E0271">
        <w:rPr>
          <w:sz w:val="24"/>
          <w:szCs w:val="24"/>
        </w:rPr>
        <w:t>ERÚ</w:t>
      </w:r>
      <w:proofErr w:type="spellEnd"/>
      <w:r w:rsidRPr="004E0271">
        <w:rPr>
          <w:sz w:val="24"/>
          <w:szCs w:val="24"/>
        </w:rPr>
        <w:t xml:space="preserve"> povinen rovněž upřesnit informaci, jaký podklad požaduje, resp. rozsah požadované informace, aby byl zaručen výkon této pravomoci </w:t>
      </w:r>
      <w:proofErr w:type="spellStart"/>
      <w:r w:rsidRPr="004E0271">
        <w:rPr>
          <w:sz w:val="24"/>
          <w:szCs w:val="24"/>
        </w:rPr>
        <w:t>ERÚ</w:t>
      </w:r>
      <w:proofErr w:type="spellEnd"/>
      <w:r w:rsidRPr="004E0271">
        <w:rPr>
          <w:sz w:val="24"/>
          <w:szCs w:val="24"/>
        </w:rPr>
        <w:t xml:space="preserve"> přiměřeným způsobem.</w:t>
      </w:r>
    </w:p>
    <w:p w:rsidR="004E0271" w:rsidRPr="004E0271" w:rsidRDefault="004E0271" w:rsidP="004E0271">
      <w:pPr>
        <w:ind w:left="360"/>
        <w:jc w:val="both"/>
        <w:rPr>
          <w:sz w:val="24"/>
          <w:szCs w:val="24"/>
        </w:rPr>
      </w:pPr>
      <w:r w:rsidRPr="004E0271">
        <w:rPr>
          <w:sz w:val="24"/>
          <w:szCs w:val="24"/>
        </w:rPr>
        <w:t xml:space="preserve">Původně navrhované znění odstavce 2, rozšiřující okruh povinných subjektů mimo tzv. účastníky trhu a osoby podle čl. 15 </w:t>
      </w:r>
      <w:proofErr w:type="spellStart"/>
      <w:r w:rsidRPr="004E0271">
        <w:rPr>
          <w:sz w:val="24"/>
          <w:szCs w:val="24"/>
        </w:rPr>
        <w:t>REMIT</w:t>
      </w:r>
      <w:proofErr w:type="spellEnd"/>
      <w:r w:rsidRPr="004E0271">
        <w:rPr>
          <w:sz w:val="24"/>
          <w:szCs w:val="24"/>
        </w:rPr>
        <w:t xml:space="preserve">, by mělo mít své opodstatnění až v rámci správního řízení, resp. v souvislosti s výkonem kontrolních nebo vyšetřovacích pravomocí </w:t>
      </w:r>
      <w:proofErr w:type="spellStart"/>
      <w:r w:rsidRPr="004E0271">
        <w:rPr>
          <w:sz w:val="24"/>
          <w:szCs w:val="24"/>
        </w:rPr>
        <w:t>ERÚ</w:t>
      </w:r>
      <w:proofErr w:type="spellEnd"/>
      <w:r w:rsidRPr="004E0271">
        <w:rPr>
          <w:sz w:val="24"/>
          <w:szCs w:val="24"/>
        </w:rPr>
        <w:t xml:space="preserve">, kdy např. existuje podezření z porušení povinnosti nebo zákazu podle </w:t>
      </w:r>
      <w:proofErr w:type="spellStart"/>
      <w:r w:rsidRPr="004E0271">
        <w:rPr>
          <w:sz w:val="24"/>
          <w:szCs w:val="24"/>
        </w:rPr>
        <w:t>REMIT</w:t>
      </w:r>
      <w:proofErr w:type="spellEnd"/>
      <w:r w:rsidRPr="004E0271">
        <w:rPr>
          <w:sz w:val="24"/>
          <w:szCs w:val="24"/>
        </w:rPr>
        <w:t xml:space="preserve"> nebo zákona. Jinak se domníváme, že takto široce koncipovaná pravomoc může být lehce zneužita.</w:t>
      </w:r>
    </w:p>
    <w:p w:rsidR="004E0271" w:rsidRPr="004E0271" w:rsidRDefault="004E0271" w:rsidP="004E0271">
      <w:pPr>
        <w:ind w:left="360"/>
        <w:jc w:val="both"/>
        <w:rPr>
          <w:sz w:val="24"/>
          <w:szCs w:val="24"/>
        </w:rPr>
      </w:pPr>
    </w:p>
    <w:p w:rsidR="004E0271" w:rsidRPr="004E0271" w:rsidRDefault="004E0271" w:rsidP="004E0271">
      <w:pPr>
        <w:ind w:left="360"/>
        <w:jc w:val="both"/>
        <w:rPr>
          <w:b/>
          <w:sz w:val="24"/>
          <w:szCs w:val="24"/>
        </w:rPr>
      </w:pPr>
      <w:r w:rsidRPr="004E0271">
        <w:rPr>
          <w:b/>
          <w:sz w:val="24"/>
          <w:szCs w:val="24"/>
        </w:rPr>
        <w:t>§ 5 Kontrola velkoobchodního trhu s energií</w:t>
      </w:r>
    </w:p>
    <w:p w:rsidR="004E0271" w:rsidRPr="004E0271" w:rsidRDefault="004E0271" w:rsidP="004E0271">
      <w:pPr>
        <w:ind w:left="360"/>
        <w:jc w:val="both"/>
        <w:rPr>
          <w:b/>
          <w:sz w:val="24"/>
          <w:szCs w:val="24"/>
        </w:rPr>
      </w:pPr>
      <w:r w:rsidRPr="004E0271">
        <w:rPr>
          <w:b/>
          <w:sz w:val="24"/>
          <w:szCs w:val="24"/>
        </w:rPr>
        <w:t>K odstavci 1 a nadpisu:</w:t>
      </w:r>
    </w:p>
    <w:p w:rsidR="004E0271" w:rsidRPr="004E0271" w:rsidRDefault="004E0271" w:rsidP="004E0271">
      <w:pPr>
        <w:ind w:left="360"/>
        <w:jc w:val="both"/>
        <w:rPr>
          <w:sz w:val="24"/>
          <w:szCs w:val="24"/>
          <w:u w:val="single"/>
        </w:rPr>
      </w:pPr>
      <w:r w:rsidRPr="004E0271">
        <w:rPr>
          <w:sz w:val="24"/>
          <w:szCs w:val="24"/>
          <w:u w:val="single"/>
        </w:rPr>
        <w:t>Znění návrhu:</w:t>
      </w:r>
    </w:p>
    <w:p w:rsidR="004E0271" w:rsidRPr="004E0271" w:rsidRDefault="004E0271" w:rsidP="004E0271">
      <w:pPr>
        <w:pStyle w:val="Parlament"/>
        <w:spacing w:before="0" w:after="200" w:line="276" w:lineRule="auto"/>
        <w:jc w:val="center"/>
        <w:rPr>
          <w:rFonts w:asciiTheme="minorHAnsi" w:eastAsiaTheme="minorEastAsia" w:hAnsiTheme="minorHAnsi" w:cstheme="minorBidi"/>
          <w:szCs w:val="24"/>
        </w:rPr>
      </w:pPr>
      <w:r w:rsidRPr="004E0271">
        <w:rPr>
          <w:rFonts w:asciiTheme="minorHAnsi" w:eastAsiaTheme="minorEastAsia" w:hAnsiTheme="minorHAnsi" w:cstheme="minorBidi"/>
          <w:szCs w:val="24"/>
        </w:rPr>
        <w:t>„§ 5</w:t>
      </w:r>
    </w:p>
    <w:p w:rsidR="004E0271" w:rsidRPr="004E0271" w:rsidRDefault="004E0271" w:rsidP="004E0271">
      <w:pPr>
        <w:pStyle w:val="Nadpisparagrafu"/>
        <w:spacing w:before="0" w:after="200" w:line="276" w:lineRule="auto"/>
        <w:rPr>
          <w:rFonts w:asciiTheme="minorHAnsi" w:eastAsiaTheme="minorEastAsia" w:hAnsiTheme="minorHAnsi" w:cstheme="minorBidi"/>
          <w:szCs w:val="24"/>
        </w:rPr>
      </w:pPr>
      <w:r w:rsidRPr="004E0271">
        <w:rPr>
          <w:rFonts w:asciiTheme="minorHAnsi" w:eastAsiaTheme="minorEastAsia" w:hAnsiTheme="minorHAnsi" w:cstheme="minorBidi"/>
          <w:szCs w:val="24"/>
        </w:rPr>
        <w:t>Dozor v oblasti integrity a transparentnosti velkoobchodního trhu s energií</w:t>
      </w:r>
    </w:p>
    <w:p w:rsidR="004E0271" w:rsidRPr="004E0271" w:rsidRDefault="004E0271" w:rsidP="004E0271">
      <w:pPr>
        <w:pStyle w:val="Textodstavce"/>
        <w:numPr>
          <w:ilvl w:val="0"/>
          <w:numId w:val="4"/>
        </w:numPr>
        <w:spacing w:before="0" w:after="200" w:line="276" w:lineRule="auto"/>
        <w:rPr>
          <w:rFonts w:asciiTheme="minorHAnsi" w:eastAsiaTheme="minorEastAsia" w:hAnsiTheme="minorHAnsi" w:cstheme="minorBidi"/>
          <w:szCs w:val="24"/>
        </w:rPr>
      </w:pPr>
      <w:r w:rsidRPr="004E0271">
        <w:rPr>
          <w:rFonts w:asciiTheme="minorHAnsi" w:eastAsiaTheme="minorEastAsia" w:hAnsiTheme="minorHAnsi" w:cstheme="minorBidi"/>
          <w:szCs w:val="24"/>
        </w:rPr>
        <w:t>Úřad vykonává dozor nad dodržováním povinností stanovených Nařízením a tímto zákonem. Tím není dotčena působnost jiných orgánů vykonávajících dozor podle zvláštních právních předpisů.“</w:t>
      </w:r>
    </w:p>
    <w:p w:rsidR="004E0271" w:rsidRPr="004E0271" w:rsidRDefault="004E0271" w:rsidP="004E0271">
      <w:pPr>
        <w:ind w:left="360"/>
        <w:jc w:val="both"/>
        <w:rPr>
          <w:rFonts w:eastAsiaTheme="minorEastAsia"/>
          <w:sz w:val="24"/>
          <w:szCs w:val="24"/>
          <w:u w:val="single"/>
        </w:rPr>
      </w:pPr>
      <w:r w:rsidRPr="004E0271">
        <w:rPr>
          <w:sz w:val="24"/>
          <w:szCs w:val="24"/>
          <w:u w:val="single"/>
        </w:rPr>
        <w:t>Odůvodnění:</w:t>
      </w:r>
    </w:p>
    <w:p w:rsidR="004E0271" w:rsidRPr="004E0271" w:rsidRDefault="004E0271" w:rsidP="004E0271">
      <w:pPr>
        <w:ind w:left="360"/>
        <w:jc w:val="both"/>
        <w:rPr>
          <w:sz w:val="24"/>
          <w:szCs w:val="24"/>
        </w:rPr>
      </w:pPr>
      <w:r w:rsidRPr="004E0271">
        <w:rPr>
          <w:sz w:val="24"/>
          <w:szCs w:val="24"/>
        </w:rPr>
        <w:t xml:space="preserve">Navrhujeme zpřesnění nadpisu § 5 a znění odstavce 1. Kontrolu vykonává </w:t>
      </w:r>
      <w:proofErr w:type="spellStart"/>
      <w:r w:rsidRPr="004E0271">
        <w:rPr>
          <w:sz w:val="24"/>
          <w:szCs w:val="24"/>
        </w:rPr>
        <w:t>ERÚ</w:t>
      </w:r>
      <w:proofErr w:type="spellEnd"/>
      <w:r w:rsidRPr="004E0271">
        <w:rPr>
          <w:sz w:val="24"/>
          <w:szCs w:val="24"/>
        </w:rPr>
        <w:t xml:space="preserve"> v rámci dozoru, a to nejen nad dodržováním povinností podle </w:t>
      </w:r>
      <w:proofErr w:type="spellStart"/>
      <w:r w:rsidRPr="004E0271">
        <w:rPr>
          <w:sz w:val="24"/>
          <w:szCs w:val="24"/>
        </w:rPr>
        <w:t>REMIT</w:t>
      </w:r>
      <w:proofErr w:type="spellEnd"/>
      <w:r w:rsidRPr="004E0271">
        <w:rPr>
          <w:sz w:val="24"/>
          <w:szCs w:val="24"/>
        </w:rPr>
        <w:t>, ale rovněž podle příslušné národní legislativy, kterou by měl být do budoucna právě návrh zákona.</w:t>
      </w:r>
    </w:p>
    <w:p w:rsidR="004E0271" w:rsidRPr="004E0271" w:rsidRDefault="004E0271" w:rsidP="004E0271">
      <w:pPr>
        <w:ind w:left="360"/>
        <w:jc w:val="both"/>
        <w:rPr>
          <w:sz w:val="24"/>
          <w:szCs w:val="24"/>
        </w:rPr>
      </w:pPr>
    </w:p>
    <w:p w:rsidR="004E0271" w:rsidRPr="004E0271" w:rsidRDefault="004E0271" w:rsidP="004E0271">
      <w:pPr>
        <w:ind w:left="360"/>
        <w:jc w:val="both"/>
        <w:rPr>
          <w:b/>
          <w:sz w:val="24"/>
          <w:szCs w:val="24"/>
        </w:rPr>
      </w:pPr>
      <w:r w:rsidRPr="004E0271">
        <w:rPr>
          <w:b/>
          <w:sz w:val="24"/>
          <w:szCs w:val="24"/>
        </w:rPr>
        <w:t>K odstavci 4:</w:t>
      </w:r>
    </w:p>
    <w:p w:rsidR="004E0271" w:rsidRPr="004E0271" w:rsidRDefault="004E0271" w:rsidP="004E0271">
      <w:pPr>
        <w:ind w:left="360"/>
        <w:jc w:val="both"/>
        <w:rPr>
          <w:sz w:val="24"/>
          <w:szCs w:val="24"/>
          <w:u w:val="single"/>
        </w:rPr>
      </w:pPr>
      <w:r w:rsidRPr="004E0271">
        <w:rPr>
          <w:sz w:val="24"/>
          <w:szCs w:val="24"/>
          <w:u w:val="single"/>
        </w:rPr>
        <w:t>Znění návrhu:</w:t>
      </w:r>
    </w:p>
    <w:p w:rsidR="004E0271" w:rsidRPr="004E0271" w:rsidRDefault="004E0271" w:rsidP="004E0271">
      <w:pPr>
        <w:ind w:left="360"/>
        <w:jc w:val="both"/>
        <w:rPr>
          <w:sz w:val="24"/>
          <w:szCs w:val="24"/>
        </w:rPr>
      </w:pPr>
      <w:r w:rsidRPr="004E0271">
        <w:rPr>
          <w:sz w:val="24"/>
          <w:szCs w:val="24"/>
        </w:rPr>
        <w:t>Navrhuje se nové znění odstavce 4:</w:t>
      </w:r>
    </w:p>
    <w:p w:rsidR="004E0271" w:rsidRDefault="004E0271" w:rsidP="004E0271">
      <w:pPr>
        <w:pStyle w:val="Textodstavce"/>
        <w:numPr>
          <w:ilvl w:val="0"/>
          <w:numId w:val="0"/>
        </w:numPr>
        <w:spacing w:before="0" w:after="200" w:line="276" w:lineRule="auto"/>
        <w:ind w:left="426" w:hanging="1"/>
        <w:rPr>
          <w:rFonts w:asciiTheme="minorHAnsi" w:eastAsiaTheme="minorEastAsia" w:hAnsiTheme="minorHAnsi" w:cstheme="minorBidi"/>
          <w:szCs w:val="24"/>
        </w:rPr>
      </w:pPr>
      <w:r w:rsidRPr="004E0271">
        <w:rPr>
          <w:rFonts w:asciiTheme="minorHAnsi" w:eastAsiaTheme="minorEastAsia" w:hAnsiTheme="minorHAnsi" w:cstheme="minorBidi"/>
          <w:szCs w:val="24"/>
        </w:rPr>
        <w:t>„(4) Zaměstnanci Úřadu vykonávající dozor v energetických odvětvích se prokazují průkazem zaměstnance Energetického regulačního úřadu, který je zároveň dokladem o jejich pověření k provedení</w:t>
      </w:r>
      <w:r w:rsidRPr="004E0271">
        <w:rPr>
          <w:rFonts w:asciiTheme="minorHAnsi" w:hAnsiTheme="minorHAnsi"/>
          <w:szCs w:val="24"/>
        </w:rPr>
        <w:t xml:space="preserve"> kontroly. Ustanovení o pověření ke kontrole dle kontrolního řádu tím není dotčeno. Jde-li o výkon kontroly podle § 6 a § 7, </w:t>
      </w:r>
      <w:r w:rsidRPr="004E0271">
        <w:rPr>
          <w:rFonts w:asciiTheme="minorHAnsi" w:eastAsiaTheme="minorEastAsia" w:hAnsiTheme="minorHAnsi" w:cstheme="minorBidi"/>
          <w:szCs w:val="24"/>
        </w:rPr>
        <w:t xml:space="preserve">provádí se šetření na </w:t>
      </w:r>
      <w:r w:rsidRPr="004E0271">
        <w:rPr>
          <w:rFonts w:asciiTheme="minorHAnsi" w:eastAsiaTheme="minorEastAsia" w:hAnsiTheme="minorHAnsi" w:cstheme="minorBidi"/>
          <w:szCs w:val="24"/>
        </w:rPr>
        <w:lastRenderedPageBreak/>
        <w:t>základě písemného pověření vystaveného předsedou Úřadu nebo jinou osobou k tomu oprávněnou podle vnitřních předpisů Úřadu. Pověření musí obsahovat zejména jméno, popřípadě jména, příjmení, funkci a podpis osoby oprávněné k jeho vystavení, datum vyhotovení a otisk úředního razítka, dále právní ustanovení, podle kterého má být šetření provedeno, označení obchodních prostor kontrolované osoby, v nichž má být šetření provedeno, předmět šetření a datum jeho zahájení, jakož i jméno, popřípadě jména a příjmení zaměstnanců Úřadu, případně dalších Úřadem pověřených osob, které mají šetření provést.“</w:t>
      </w:r>
    </w:p>
    <w:p w:rsidR="006C2F84" w:rsidRPr="004E0271" w:rsidRDefault="006C2F84" w:rsidP="004E0271">
      <w:pPr>
        <w:pStyle w:val="Textodstavce"/>
        <w:numPr>
          <w:ilvl w:val="0"/>
          <w:numId w:val="0"/>
        </w:numPr>
        <w:spacing w:before="0" w:after="200" w:line="276" w:lineRule="auto"/>
        <w:ind w:left="426" w:hanging="1"/>
        <w:rPr>
          <w:rFonts w:asciiTheme="minorHAnsi" w:eastAsiaTheme="minorEastAsia" w:hAnsiTheme="minorHAnsi" w:cstheme="minorBidi"/>
          <w:szCs w:val="24"/>
        </w:rPr>
      </w:pPr>
    </w:p>
    <w:p w:rsidR="004E0271" w:rsidRPr="004E0271" w:rsidRDefault="004E0271" w:rsidP="004E0271">
      <w:pPr>
        <w:ind w:left="360"/>
        <w:jc w:val="both"/>
        <w:rPr>
          <w:rFonts w:eastAsiaTheme="minorEastAsia"/>
          <w:sz w:val="24"/>
          <w:szCs w:val="24"/>
          <w:u w:val="single"/>
        </w:rPr>
      </w:pPr>
      <w:r w:rsidRPr="004E0271">
        <w:rPr>
          <w:sz w:val="24"/>
          <w:szCs w:val="24"/>
          <w:u w:val="single"/>
        </w:rPr>
        <w:t>Odůvodnění:</w:t>
      </w:r>
    </w:p>
    <w:p w:rsidR="004E0271" w:rsidRPr="004E0271" w:rsidRDefault="004E0271" w:rsidP="004E0271">
      <w:pPr>
        <w:ind w:left="360"/>
        <w:jc w:val="both"/>
        <w:rPr>
          <w:sz w:val="24"/>
          <w:szCs w:val="24"/>
        </w:rPr>
      </w:pPr>
      <w:r w:rsidRPr="004E0271">
        <w:rPr>
          <w:sz w:val="24"/>
          <w:szCs w:val="24"/>
        </w:rPr>
        <w:t xml:space="preserve">Za účelem zvýšení právní jistoty kontrolovaných subjektů a částečně nad rámec požadavků kontrolního řádu navrhujeme blíže vymezit pověření v případě specifických případů kontroly jako je šetření na místě, a to alespoň obdobně jako je tomu v případě zákona o ochraně hospodářské soutěže (viz § </w:t>
      </w:r>
      <w:proofErr w:type="spellStart"/>
      <w:r w:rsidRPr="004E0271">
        <w:rPr>
          <w:sz w:val="24"/>
          <w:szCs w:val="24"/>
        </w:rPr>
        <w:t>21f</w:t>
      </w:r>
      <w:proofErr w:type="spellEnd"/>
      <w:r w:rsidRPr="004E0271">
        <w:rPr>
          <w:sz w:val="24"/>
          <w:szCs w:val="24"/>
        </w:rPr>
        <w:t xml:space="preserve"> odst. 5). </w:t>
      </w:r>
    </w:p>
    <w:p w:rsidR="004E0271" w:rsidRPr="004E0271" w:rsidRDefault="004E0271" w:rsidP="004E0271">
      <w:pPr>
        <w:ind w:left="360"/>
        <w:jc w:val="both"/>
        <w:rPr>
          <w:b/>
          <w:sz w:val="24"/>
          <w:szCs w:val="24"/>
        </w:rPr>
      </w:pPr>
      <w:r w:rsidRPr="004E0271">
        <w:rPr>
          <w:b/>
          <w:sz w:val="24"/>
          <w:szCs w:val="24"/>
        </w:rPr>
        <w:t>§ 9 Ochrana důvěrných informací a § 16 Zvláštní ustanovení o spisu a nahlížení do něj</w:t>
      </w:r>
    </w:p>
    <w:p w:rsidR="004E0271" w:rsidRPr="004E0271" w:rsidRDefault="004E0271" w:rsidP="004E0271">
      <w:pPr>
        <w:ind w:left="360"/>
        <w:jc w:val="both"/>
        <w:rPr>
          <w:sz w:val="24"/>
          <w:szCs w:val="24"/>
        </w:rPr>
      </w:pPr>
      <w:r w:rsidRPr="004E0271">
        <w:rPr>
          <w:sz w:val="24"/>
          <w:szCs w:val="24"/>
          <w:u w:val="single"/>
        </w:rPr>
        <w:t>Znění návrhu (§ 9):</w:t>
      </w:r>
    </w:p>
    <w:p w:rsidR="004E0271" w:rsidRPr="004E0271" w:rsidRDefault="004E0271" w:rsidP="004E0271">
      <w:pPr>
        <w:ind w:left="360"/>
        <w:jc w:val="both"/>
        <w:rPr>
          <w:sz w:val="24"/>
          <w:szCs w:val="24"/>
        </w:rPr>
      </w:pPr>
      <w:r w:rsidRPr="004E0271">
        <w:rPr>
          <w:sz w:val="24"/>
          <w:szCs w:val="24"/>
        </w:rPr>
        <w:t xml:space="preserve"> „(2) Zaměstnanec Úřadu nebo osoba v jiném právním vztahu k Úřadu, na jehož základě vykonává pro Úřad činnost, při níž se dozví informaci v jakékoliv podobě, která má charakter obchodního tajemství nebo jiného zákonem chráněného tajemství, nebo která je obchodně citlivou informací získanou při výkonu činnosti účastníka trhu nebo informací, která není veřejně dostupná (dále jen „chráněná informace“), je povinna o nich zachovat mlčenlivost. Tato povinnost trvá i po skončení pracovněprávního nebo jiného vztahu k Úřadu. Tato povinnost mlčenlivosti neplatí, pokud to vylučují jiné právní předpisy.“</w:t>
      </w:r>
    </w:p>
    <w:p w:rsidR="004E0271" w:rsidRPr="004E0271" w:rsidRDefault="004E0271" w:rsidP="004E0271">
      <w:pPr>
        <w:ind w:left="360"/>
        <w:jc w:val="both"/>
        <w:rPr>
          <w:sz w:val="24"/>
          <w:szCs w:val="24"/>
        </w:rPr>
      </w:pPr>
      <w:r w:rsidRPr="004E0271">
        <w:rPr>
          <w:sz w:val="24"/>
          <w:szCs w:val="24"/>
        </w:rPr>
        <w:t>Dále navrhujeme úpravu příslušných paragrafů s využitím nové legislativní zkratky, zejména § 16.</w:t>
      </w:r>
    </w:p>
    <w:p w:rsidR="004E0271" w:rsidRPr="004E0271" w:rsidRDefault="004E0271" w:rsidP="004E0271">
      <w:pPr>
        <w:ind w:left="360"/>
        <w:jc w:val="both"/>
        <w:rPr>
          <w:sz w:val="24"/>
          <w:szCs w:val="24"/>
          <w:u w:val="single"/>
        </w:rPr>
      </w:pPr>
      <w:r w:rsidRPr="004E0271">
        <w:rPr>
          <w:sz w:val="24"/>
          <w:szCs w:val="24"/>
          <w:u w:val="single"/>
        </w:rPr>
        <w:t>Odůvodnění:</w:t>
      </w:r>
    </w:p>
    <w:p w:rsidR="004E0271" w:rsidRPr="004E0271" w:rsidRDefault="004E0271" w:rsidP="004E0271">
      <w:pPr>
        <w:ind w:left="360"/>
        <w:jc w:val="both"/>
        <w:rPr>
          <w:sz w:val="24"/>
          <w:szCs w:val="24"/>
        </w:rPr>
      </w:pPr>
      <w:r w:rsidRPr="004E0271">
        <w:rPr>
          <w:sz w:val="24"/>
          <w:szCs w:val="24"/>
        </w:rPr>
        <w:t>Za účelem předejití případných výkladových nejasností navrhujeme zavést definici tzv. chráněné informace, ohledně které je třeba stanovit povinnost mlčenlivosti subjektu, který s takovou informacemi nakládá, resp. která by měla být vyloučena z nahlížení do spisu. Navrhuje se tedy zavést legislativní zkratku, která vychází především z respektování jiných zákonných povinností mlčenlivosti (obchodní tajemství, jiná zákonem chráněná tajemství – např. chráněné osobní údaje, bankovní tajemství, utajované skutečnosti apod.), ale i obchodně citlivých informací získaných při výkonu povinností účastníka trhu, resp. informací, které nejsou veřejně přístupné.</w:t>
      </w:r>
    </w:p>
    <w:p w:rsidR="004E0271" w:rsidRPr="004E0271" w:rsidRDefault="004E0271" w:rsidP="004E0271">
      <w:pPr>
        <w:ind w:left="360"/>
        <w:jc w:val="both"/>
        <w:rPr>
          <w:sz w:val="24"/>
          <w:szCs w:val="24"/>
        </w:rPr>
      </w:pPr>
    </w:p>
    <w:p w:rsidR="004E0271" w:rsidRPr="004E0271" w:rsidRDefault="004E0271" w:rsidP="004E0271">
      <w:pPr>
        <w:keepNext/>
        <w:ind w:left="357"/>
        <w:jc w:val="both"/>
        <w:rPr>
          <w:b/>
          <w:sz w:val="24"/>
          <w:szCs w:val="24"/>
        </w:rPr>
      </w:pPr>
      <w:r w:rsidRPr="004E0271">
        <w:rPr>
          <w:b/>
          <w:sz w:val="24"/>
          <w:szCs w:val="24"/>
        </w:rPr>
        <w:t>Hlava III – Povinnosti účastníku trhu - § 10</w:t>
      </w:r>
    </w:p>
    <w:p w:rsidR="004E0271" w:rsidRPr="004E0271" w:rsidRDefault="004E0271" w:rsidP="004E0271">
      <w:pPr>
        <w:keepNext/>
        <w:ind w:left="357"/>
        <w:jc w:val="both"/>
        <w:rPr>
          <w:sz w:val="24"/>
          <w:szCs w:val="24"/>
          <w:u w:val="single"/>
        </w:rPr>
      </w:pPr>
      <w:r w:rsidRPr="004E0271">
        <w:rPr>
          <w:sz w:val="24"/>
          <w:szCs w:val="24"/>
          <w:u w:val="single"/>
        </w:rPr>
        <w:t>Znění návrhu:</w:t>
      </w:r>
    </w:p>
    <w:p w:rsidR="004E0271" w:rsidRPr="004E0271" w:rsidRDefault="004E0271" w:rsidP="004E0271">
      <w:pPr>
        <w:ind w:left="360"/>
        <w:jc w:val="both"/>
        <w:rPr>
          <w:sz w:val="24"/>
          <w:szCs w:val="24"/>
        </w:rPr>
      </w:pPr>
      <w:r w:rsidRPr="004E0271">
        <w:rPr>
          <w:sz w:val="24"/>
          <w:szCs w:val="24"/>
        </w:rPr>
        <w:t>Navrhujeme vypustit § 10 bez náhrady.</w:t>
      </w:r>
    </w:p>
    <w:p w:rsidR="004E0271" w:rsidRPr="004E0271" w:rsidRDefault="004E0271" w:rsidP="004E0271">
      <w:pPr>
        <w:ind w:left="360"/>
        <w:jc w:val="both"/>
        <w:rPr>
          <w:sz w:val="24"/>
          <w:szCs w:val="24"/>
          <w:u w:val="single"/>
        </w:rPr>
      </w:pPr>
      <w:r w:rsidRPr="004E0271">
        <w:rPr>
          <w:sz w:val="24"/>
          <w:szCs w:val="24"/>
          <w:u w:val="single"/>
        </w:rPr>
        <w:t>Odůvodnění:</w:t>
      </w:r>
    </w:p>
    <w:p w:rsidR="004E0271" w:rsidRPr="004E0271" w:rsidRDefault="004E0271" w:rsidP="004E0271">
      <w:pPr>
        <w:ind w:left="360"/>
        <w:jc w:val="both"/>
        <w:rPr>
          <w:sz w:val="24"/>
          <w:szCs w:val="24"/>
        </w:rPr>
      </w:pPr>
      <w:r w:rsidRPr="004E0271">
        <w:rPr>
          <w:sz w:val="24"/>
          <w:szCs w:val="24"/>
        </w:rPr>
        <w:t xml:space="preserve">Návrh zákona stanovuje povinnost uchovávat nejen záznamy o uskutečněných transakcích, resp. příkazech, ale rovněž i o neuskutečněných nebo zrušených transakcích, a to po dobu 5 let pro účely případné kontroly. Tato povinnost jde nad rámec požadavků </w:t>
      </w:r>
      <w:proofErr w:type="spellStart"/>
      <w:r w:rsidRPr="004E0271">
        <w:rPr>
          <w:sz w:val="24"/>
          <w:szCs w:val="24"/>
        </w:rPr>
        <w:t>REMIT</w:t>
      </w:r>
      <w:proofErr w:type="spellEnd"/>
      <w:r w:rsidRPr="004E0271">
        <w:rPr>
          <w:sz w:val="24"/>
          <w:szCs w:val="24"/>
        </w:rPr>
        <w:t xml:space="preserve">, přičemž navrhovatel pravděpodobně ani nevzal v potaz nákladovost tohoto řešení a jeho dopad zejména na menší účastníky trhu. </w:t>
      </w:r>
    </w:p>
    <w:p w:rsidR="004E0271" w:rsidRPr="004E0271" w:rsidRDefault="004E0271" w:rsidP="004E0271">
      <w:pPr>
        <w:ind w:left="360"/>
        <w:jc w:val="both"/>
        <w:rPr>
          <w:sz w:val="24"/>
          <w:szCs w:val="24"/>
        </w:rPr>
      </w:pPr>
      <w:r w:rsidRPr="004E0271">
        <w:rPr>
          <w:sz w:val="24"/>
          <w:szCs w:val="24"/>
        </w:rPr>
        <w:t xml:space="preserve">Transakce, resp. příkazy k obchodování budou každopádně reportovány přímo na </w:t>
      </w:r>
      <w:proofErr w:type="spellStart"/>
      <w:r w:rsidRPr="004E0271">
        <w:rPr>
          <w:sz w:val="24"/>
          <w:szCs w:val="24"/>
        </w:rPr>
        <w:t>ACER</w:t>
      </w:r>
      <w:proofErr w:type="spellEnd"/>
      <w:r w:rsidRPr="004E0271">
        <w:rPr>
          <w:sz w:val="24"/>
          <w:szCs w:val="24"/>
        </w:rPr>
        <w:t xml:space="preserve">, navíc v některých případech prostřednictvím třetích subjektů (k tomu viz zejména čl. 5 návrhu prováděcích aktů Komise). Rovněž pětiletá doba pro uchovávání záznamu je v některých případech, zejména u krátkodobých smluv, neodůvodněně dlouhá. </w:t>
      </w:r>
    </w:p>
    <w:p w:rsidR="004E0271" w:rsidRPr="004E0271" w:rsidRDefault="004E0271" w:rsidP="004E0271">
      <w:pPr>
        <w:ind w:left="360"/>
        <w:jc w:val="both"/>
        <w:rPr>
          <w:sz w:val="24"/>
          <w:szCs w:val="24"/>
        </w:rPr>
      </w:pPr>
      <w:r w:rsidRPr="004E0271">
        <w:rPr>
          <w:sz w:val="24"/>
          <w:szCs w:val="24"/>
        </w:rPr>
        <w:t xml:space="preserve">Navíc návrh zákona ani blíže nespecifikuje způsob uchovávání záznamů, znamená to tedy, že postačí písemný záznam o transakci nebo příkazu k obchodování nebo je např. povinný subjekt nahrávat všechny telefonní hovory atd.?  </w:t>
      </w:r>
    </w:p>
    <w:p w:rsidR="004E0271" w:rsidRPr="004E0271" w:rsidRDefault="004E0271" w:rsidP="004E0271">
      <w:pPr>
        <w:rPr>
          <w:sz w:val="24"/>
          <w:szCs w:val="24"/>
        </w:rPr>
      </w:pPr>
    </w:p>
    <w:sectPr w:rsidR="004E0271" w:rsidRPr="004E0271" w:rsidSect="006A6A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A98"/>
    <w:multiLevelType w:val="hybridMultilevel"/>
    <w:tmpl w:val="2340A26E"/>
    <w:lvl w:ilvl="0" w:tplc="F5BA63D4">
      <w:numFmt w:val="bullet"/>
      <w:lvlText w:val="-"/>
      <w:lvlJc w:val="left"/>
      <w:pPr>
        <w:ind w:left="720" w:hanging="360"/>
      </w:pPr>
      <w:rPr>
        <w:rFonts w:ascii="Calibri" w:eastAsiaTheme="minorHAnsi" w:hAnsi="Calibri" w:cstheme="minorBidi"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9D1AB8"/>
    <w:multiLevelType w:val="hybridMultilevel"/>
    <w:tmpl w:val="A87059CE"/>
    <w:lvl w:ilvl="0" w:tplc="1456695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8D705EE"/>
    <w:multiLevelType w:val="hybridMultilevel"/>
    <w:tmpl w:val="3C34FAA0"/>
    <w:lvl w:ilvl="0" w:tplc="96F81F82">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6C2A"/>
    <w:rsid w:val="00072D9D"/>
    <w:rsid w:val="000B63BD"/>
    <w:rsid w:val="00367D79"/>
    <w:rsid w:val="003803D7"/>
    <w:rsid w:val="003B0E53"/>
    <w:rsid w:val="004A689B"/>
    <w:rsid w:val="004E0271"/>
    <w:rsid w:val="005E6C2A"/>
    <w:rsid w:val="006A6AD0"/>
    <w:rsid w:val="006C2F84"/>
    <w:rsid w:val="006F5F3A"/>
    <w:rsid w:val="00746C2C"/>
    <w:rsid w:val="007533E6"/>
    <w:rsid w:val="007F7FA2"/>
    <w:rsid w:val="00821269"/>
    <w:rsid w:val="00906065"/>
    <w:rsid w:val="0097790B"/>
    <w:rsid w:val="00A44C99"/>
    <w:rsid w:val="00AF647F"/>
    <w:rsid w:val="00B15DA9"/>
    <w:rsid w:val="00BA6752"/>
    <w:rsid w:val="00BC673B"/>
    <w:rsid w:val="00C01B4C"/>
    <w:rsid w:val="00C101AC"/>
    <w:rsid w:val="00C220C7"/>
    <w:rsid w:val="00C418B7"/>
    <w:rsid w:val="00C96D99"/>
    <w:rsid w:val="00CC262F"/>
    <w:rsid w:val="00D7730A"/>
    <w:rsid w:val="00E07D34"/>
    <w:rsid w:val="00E7158B"/>
    <w:rsid w:val="00ED7958"/>
    <w:rsid w:val="00F50395"/>
    <w:rsid w:val="00F71F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6C2A"/>
    <w:pPr>
      <w:ind w:left="720"/>
      <w:contextualSpacing/>
    </w:pPr>
  </w:style>
  <w:style w:type="paragraph" w:customStyle="1" w:styleId="Textbodu">
    <w:name w:val="Text bodu"/>
    <w:basedOn w:val="Normln"/>
    <w:rsid w:val="004E0271"/>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4E0271"/>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4E0271"/>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lament">
    <w:name w:val="Parlament"/>
    <w:basedOn w:val="Normln"/>
    <w:next w:val="Normln"/>
    <w:rsid w:val="004E0271"/>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Nadpisparagrafu">
    <w:name w:val="Nadpis paragrafu"/>
    <w:basedOn w:val="Normln"/>
    <w:next w:val="Textodstavce"/>
    <w:rsid w:val="004E0271"/>
    <w:pPr>
      <w:keepNext/>
      <w:keepLines/>
      <w:spacing w:before="240" w:after="0" w:line="240" w:lineRule="auto"/>
      <w:jc w:val="center"/>
      <w:outlineLvl w:val="5"/>
    </w:pPr>
    <w:rPr>
      <w:rFonts w:ascii="Times New Roman" w:eastAsia="Times New Roman" w:hAnsi="Times New Roman" w:cs="Times New Roman"/>
      <w:b/>
      <w:sz w:val="24"/>
      <w:szCs w:val="20"/>
      <w:lang w:eastAsia="cs-CZ"/>
    </w:rPr>
  </w:style>
  <w:style w:type="character" w:styleId="Siln">
    <w:name w:val="Strong"/>
    <w:basedOn w:val="Standardnpsmoodstavce"/>
    <w:uiPriority w:val="22"/>
    <w:qFormat/>
    <w:rsid w:val="004E0271"/>
    <w:rPr>
      <w:b/>
      <w:bCs/>
    </w:rPr>
  </w:style>
  <w:style w:type="paragraph" w:styleId="Textbubliny">
    <w:name w:val="Balloon Text"/>
    <w:basedOn w:val="Normln"/>
    <w:link w:val="TextbublinyChar"/>
    <w:uiPriority w:val="99"/>
    <w:semiHidden/>
    <w:unhideWhenUsed/>
    <w:rsid w:val="00C418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1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6C2A"/>
    <w:pPr>
      <w:ind w:left="720"/>
      <w:contextualSpacing/>
    </w:pPr>
  </w:style>
  <w:style w:type="paragraph" w:customStyle="1" w:styleId="Textbodu">
    <w:name w:val="Text bodu"/>
    <w:basedOn w:val="Normln"/>
    <w:rsid w:val="004E0271"/>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4E0271"/>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4E0271"/>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lament">
    <w:name w:val="Parlament"/>
    <w:basedOn w:val="Normln"/>
    <w:next w:val="Normln"/>
    <w:rsid w:val="004E0271"/>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Nadpisparagrafu">
    <w:name w:val="Nadpis paragrafu"/>
    <w:basedOn w:val="Normln"/>
    <w:next w:val="Textodstavce"/>
    <w:rsid w:val="004E0271"/>
    <w:pPr>
      <w:keepNext/>
      <w:keepLines/>
      <w:spacing w:before="240" w:after="0" w:line="240" w:lineRule="auto"/>
      <w:jc w:val="center"/>
      <w:outlineLvl w:val="5"/>
    </w:pPr>
    <w:rPr>
      <w:rFonts w:ascii="Times New Roman" w:eastAsia="Times New Roman" w:hAnsi="Times New Roman" w:cs="Times New Roman"/>
      <w:b/>
      <w:sz w:val="24"/>
      <w:szCs w:val="20"/>
      <w:lang w:eastAsia="cs-CZ"/>
    </w:rPr>
  </w:style>
  <w:style w:type="character" w:styleId="Siln">
    <w:name w:val="Strong"/>
    <w:basedOn w:val="Standardnpsmoodstavce"/>
    <w:uiPriority w:val="22"/>
    <w:qFormat/>
    <w:rsid w:val="004E0271"/>
    <w:rPr>
      <w:b/>
      <w:bCs/>
    </w:rPr>
  </w:style>
  <w:style w:type="paragraph" w:styleId="Textbubliny">
    <w:name w:val="Balloon Text"/>
    <w:basedOn w:val="Normln"/>
    <w:link w:val="TextbublinyChar"/>
    <w:uiPriority w:val="99"/>
    <w:semiHidden/>
    <w:unhideWhenUsed/>
    <w:rsid w:val="00C418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1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18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1735</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ČPS</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 ČPS</dc:creator>
  <cp:lastModifiedBy>Pecanek</cp:lastModifiedBy>
  <cp:revision>3</cp:revision>
  <cp:lastPrinted>2013-11-12T05:50:00Z</cp:lastPrinted>
  <dcterms:created xsi:type="dcterms:W3CDTF">2013-12-04T08:46:00Z</dcterms:created>
  <dcterms:modified xsi:type="dcterms:W3CDTF">2013-12-04T08:54:00Z</dcterms:modified>
</cp:coreProperties>
</file>